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82B3A" w14:textId="77777777" w:rsidR="003833CC" w:rsidRPr="003833CC" w:rsidRDefault="003833CC" w:rsidP="003833CC">
      <w:pPr>
        <w:rPr>
          <w:b/>
          <w:bCs/>
        </w:rPr>
      </w:pPr>
      <w:r w:rsidRPr="003833CC">
        <w:rPr>
          <w:b/>
          <w:bCs/>
        </w:rPr>
        <w:t>Context and Background:</w:t>
      </w:r>
    </w:p>
    <w:p w14:paraId="16EF0AF7" w14:textId="77777777" w:rsidR="003833CC" w:rsidRPr="003833CC" w:rsidRDefault="003833CC" w:rsidP="003833CC">
      <w:r w:rsidRPr="003833CC">
        <w:t xml:space="preserve">Ryan E. O'Malley, Controller of Utility Operations Accounting at Entergy Services, LLC, provides testimony concerning the accounting treatments for financial aspects of Entergy Louisiana </w:t>
      </w:r>
      <w:proofErr w:type="gramStart"/>
      <w:r w:rsidRPr="003833CC">
        <w:t>LLC’s</w:t>
      </w:r>
      <w:proofErr w:type="gramEnd"/>
      <w:r w:rsidRPr="003833CC">
        <w:t xml:space="preserve"> (ELL) significant generation and transmission infrastructure project serving a major customer load in Richland Parish, North Louisiana.</w:t>
      </w:r>
    </w:p>
    <w:p w14:paraId="6B8476BA" w14:textId="77777777" w:rsidR="003833CC" w:rsidRPr="003833CC" w:rsidRDefault="003833CC" w:rsidP="003833CC">
      <w:pPr>
        <w:rPr>
          <w:b/>
          <w:bCs/>
        </w:rPr>
      </w:pPr>
      <w:r w:rsidRPr="003833CC">
        <w:rPr>
          <w:b/>
          <w:bCs/>
        </w:rPr>
        <w:t>Key Sections and Points:</w:t>
      </w:r>
    </w:p>
    <w:p w14:paraId="53CBA4F8" w14:textId="77777777" w:rsidR="003833CC" w:rsidRPr="003833CC" w:rsidRDefault="003833CC" w:rsidP="003833CC">
      <w:pPr>
        <w:rPr>
          <w:b/>
          <w:bCs/>
        </w:rPr>
      </w:pPr>
      <w:r w:rsidRPr="003833CC">
        <w:rPr>
          <w:b/>
          <w:bCs/>
        </w:rPr>
        <w:t>I. Purpose of Testimony:</w:t>
      </w:r>
    </w:p>
    <w:p w14:paraId="4684B169" w14:textId="77777777" w:rsidR="003833CC" w:rsidRPr="003833CC" w:rsidRDefault="003833CC" w:rsidP="003833CC">
      <w:pPr>
        <w:numPr>
          <w:ilvl w:val="0"/>
          <w:numId w:val="1"/>
        </w:numPr>
      </w:pPr>
      <w:r w:rsidRPr="003833CC">
        <w:t>O'Malley discusses accounting treatments related specifically to:</w:t>
      </w:r>
    </w:p>
    <w:p w14:paraId="6B96D186" w14:textId="77777777" w:rsidR="003833CC" w:rsidRPr="003833CC" w:rsidRDefault="003833CC" w:rsidP="003833CC">
      <w:pPr>
        <w:numPr>
          <w:ilvl w:val="1"/>
          <w:numId w:val="1"/>
        </w:numPr>
      </w:pPr>
      <w:r w:rsidRPr="003833CC">
        <w:t>Contribution in Aid of Construction (CIAC) from the customer for transmission capital additions.</w:t>
      </w:r>
    </w:p>
    <w:p w14:paraId="13F0ED5B" w14:textId="77777777" w:rsidR="003833CC" w:rsidRPr="003833CC" w:rsidRDefault="003833CC" w:rsidP="003833CC">
      <w:pPr>
        <w:numPr>
          <w:ilvl w:val="1"/>
          <w:numId w:val="1"/>
        </w:numPr>
      </w:pPr>
      <w:r w:rsidRPr="003833CC">
        <w:t>CIAC for additional infrastructure costs.</w:t>
      </w:r>
    </w:p>
    <w:p w14:paraId="1CCE7049" w14:textId="77777777" w:rsidR="003833CC" w:rsidRPr="003833CC" w:rsidRDefault="003833CC" w:rsidP="003833CC">
      <w:pPr>
        <w:numPr>
          <w:ilvl w:val="1"/>
          <w:numId w:val="1"/>
        </w:numPr>
      </w:pPr>
      <w:r w:rsidRPr="003833CC">
        <w:t>Monthly minimum charges received from the customer during the project's ramp-up period.</w:t>
      </w:r>
    </w:p>
    <w:p w14:paraId="36B66B26" w14:textId="77777777" w:rsidR="003833CC" w:rsidRPr="003833CC" w:rsidRDefault="003833CC" w:rsidP="003833CC">
      <w:pPr>
        <w:numPr>
          <w:ilvl w:val="0"/>
          <w:numId w:val="1"/>
        </w:numPr>
      </w:pPr>
      <w:r w:rsidRPr="003833CC">
        <w:t>These treatments aim to protect ELL’s cash flow, maintain financial integrity, and ensure that incremental costs to serve the customer are not unfairly passed on to existing ratepayers.</w:t>
      </w:r>
    </w:p>
    <w:p w14:paraId="0F39675A" w14:textId="77777777" w:rsidR="003833CC" w:rsidRPr="003833CC" w:rsidRDefault="003833CC" w:rsidP="003833CC">
      <w:pPr>
        <w:rPr>
          <w:b/>
          <w:bCs/>
        </w:rPr>
      </w:pPr>
      <w:r w:rsidRPr="003833CC">
        <w:rPr>
          <w:b/>
          <w:bCs/>
        </w:rPr>
        <w:t>II. Accounting for CIAC (Contribution in Aid of Construction):</w:t>
      </w:r>
    </w:p>
    <w:p w14:paraId="283E934E" w14:textId="77777777" w:rsidR="003833CC" w:rsidRPr="003833CC" w:rsidRDefault="003833CC" w:rsidP="003833CC">
      <w:pPr>
        <w:numPr>
          <w:ilvl w:val="0"/>
          <w:numId w:val="2"/>
        </w:numPr>
      </w:pPr>
      <w:r w:rsidRPr="003833CC">
        <w:t>ELL’s accounting system allows precise tracking of project costs through specific project codes and work orders (Page 4).</w:t>
      </w:r>
    </w:p>
    <w:p w14:paraId="03A5E63D" w14:textId="77777777" w:rsidR="003833CC" w:rsidRPr="003833CC" w:rsidRDefault="003833CC" w:rsidP="003833CC">
      <w:pPr>
        <w:numPr>
          <w:ilvl w:val="0"/>
          <w:numId w:val="2"/>
        </w:numPr>
      </w:pPr>
      <w:r w:rsidRPr="003833CC">
        <w:t>Capital additions funded through CIAC for transmission infrastructure are recorded consistently with standard practices:</w:t>
      </w:r>
    </w:p>
    <w:p w14:paraId="0E7E6FE8" w14:textId="77777777" w:rsidR="003833CC" w:rsidRPr="003833CC" w:rsidRDefault="003833CC" w:rsidP="003833CC">
      <w:pPr>
        <w:numPr>
          <w:ilvl w:val="1"/>
          <w:numId w:val="2"/>
        </w:numPr>
      </w:pPr>
      <w:r w:rsidRPr="003833CC">
        <w:t>Initially recorded as credits in Account 252 (Advances for Construction).</w:t>
      </w:r>
    </w:p>
    <w:p w14:paraId="2397BE2C" w14:textId="77777777" w:rsidR="003833CC" w:rsidRPr="003833CC" w:rsidRDefault="003833CC" w:rsidP="003833CC">
      <w:pPr>
        <w:numPr>
          <w:ilvl w:val="1"/>
          <w:numId w:val="2"/>
        </w:numPr>
      </w:pPr>
      <w:r w:rsidRPr="003833CC">
        <w:t>Costs accumulated in Account 107 (Construction Work in Progress).</w:t>
      </w:r>
    </w:p>
    <w:p w14:paraId="0F675BE1" w14:textId="77777777" w:rsidR="003833CC" w:rsidRPr="003833CC" w:rsidRDefault="003833CC" w:rsidP="003833CC">
      <w:pPr>
        <w:numPr>
          <w:ilvl w:val="1"/>
          <w:numId w:val="2"/>
        </w:numPr>
      </w:pPr>
      <w:r w:rsidRPr="003833CC">
        <w:t>Upon project completion, amounts are transferred from Account 252 to Account 101 (Plant in Service).</w:t>
      </w:r>
    </w:p>
    <w:p w14:paraId="0B3C7B91" w14:textId="77777777" w:rsidR="003833CC" w:rsidRPr="003833CC" w:rsidRDefault="003833CC" w:rsidP="003833CC">
      <w:pPr>
        <w:numPr>
          <w:ilvl w:val="0"/>
          <w:numId w:val="2"/>
        </w:numPr>
      </w:pPr>
      <w:r w:rsidRPr="003833CC">
        <w:t>Loader rates, representing direct and indirect project costs, are applied to CIAC credits to accurately allocate expenses incurred during construction (Page 5).</w:t>
      </w:r>
    </w:p>
    <w:p w14:paraId="2A5D1F53" w14:textId="77777777" w:rsidR="003833CC" w:rsidRPr="003833CC" w:rsidRDefault="003833CC" w:rsidP="003833CC">
      <w:pPr>
        <w:numPr>
          <w:ilvl w:val="0"/>
          <w:numId w:val="2"/>
        </w:numPr>
      </w:pPr>
      <w:r w:rsidRPr="003833CC">
        <w:t xml:space="preserve">True-up mechanisms for CIAC amounts ensure that customer payments match </w:t>
      </w:r>
      <w:proofErr w:type="gramStart"/>
      <w:r w:rsidRPr="003833CC">
        <w:t>actual</w:t>
      </w:r>
      <w:proofErr w:type="gramEnd"/>
      <w:r w:rsidRPr="003833CC">
        <w:t xml:space="preserve"> incurred costs. Any discrepancies between projected and actual costs result in adjustments through deferred credit/debit accounts to accurately reflect final project costs (Pages 7).</w:t>
      </w:r>
    </w:p>
    <w:p w14:paraId="51878F17" w14:textId="77777777" w:rsidR="003833CC" w:rsidRPr="003833CC" w:rsidRDefault="003833CC" w:rsidP="003833CC">
      <w:pPr>
        <w:rPr>
          <w:b/>
          <w:bCs/>
        </w:rPr>
      </w:pPr>
      <w:r w:rsidRPr="003833CC">
        <w:rPr>
          <w:b/>
          <w:bCs/>
        </w:rPr>
        <w:t>III. Monthly Minimum Charges During Ramp-Up:</w:t>
      </w:r>
    </w:p>
    <w:p w14:paraId="58893A53" w14:textId="77777777" w:rsidR="003833CC" w:rsidRPr="003833CC" w:rsidRDefault="003833CC" w:rsidP="003833CC">
      <w:pPr>
        <w:numPr>
          <w:ilvl w:val="0"/>
          <w:numId w:val="3"/>
        </w:numPr>
      </w:pPr>
      <w:r w:rsidRPr="003833CC">
        <w:t>Monthly minimum charges from the customer during the ramp-up period will be recorded as contract liabilities, complying with Generally Accepted Accounting Principles (GAAP).</w:t>
      </w:r>
    </w:p>
    <w:p w14:paraId="238F5B3F" w14:textId="77777777" w:rsidR="003833CC" w:rsidRPr="003833CC" w:rsidRDefault="003833CC" w:rsidP="003833CC">
      <w:pPr>
        <w:numPr>
          <w:ilvl w:val="0"/>
          <w:numId w:val="3"/>
        </w:numPr>
      </w:pPr>
      <w:r w:rsidRPr="003833CC">
        <w:lastRenderedPageBreak/>
        <w:t>These charges ensure stable revenue recognition and facilitate future ratemaking purposes, protecting both customer and existing ratepayer interests by stabilizing potential volatility in incremental costs (Page 8).</w:t>
      </w:r>
    </w:p>
    <w:p w14:paraId="4DAC323D" w14:textId="77777777" w:rsidR="003833CC" w:rsidRPr="003833CC" w:rsidRDefault="003833CC" w:rsidP="003833CC">
      <w:pPr>
        <w:rPr>
          <w:b/>
          <w:bCs/>
        </w:rPr>
      </w:pPr>
      <w:r w:rsidRPr="003833CC">
        <w:rPr>
          <w:b/>
          <w:bCs/>
        </w:rPr>
        <w:t>Accounting Treatment Summary:</w:t>
      </w:r>
    </w:p>
    <w:p w14:paraId="62102A65" w14:textId="77777777" w:rsidR="003833CC" w:rsidRPr="003833CC" w:rsidRDefault="003833CC" w:rsidP="003833CC">
      <w:pPr>
        <w:numPr>
          <w:ilvl w:val="0"/>
          <w:numId w:val="4"/>
        </w:numPr>
      </w:pPr>
      <w:r w:rsidRPr="003833CC">
        <w:t>The customer’s financial contributions via CIAC fully offset the specific incremental transmission capital project costs.</w:t>
      </w:r>
    </w:p>
    <w:p w14:paraId="21375589" w14:textId="77777777" w:rsidR="003833CC" w:rsidRPr="003833CC" w:rsidRDefault="003833CC" w:rsidP="003833CC">
      <w:pPr>
        <w:numPr>
          <w:ilvl w:val="0"/>
          <w:numId w:val="4"/>
        </w:numPr>
      </w:pPr>
      <w:r w:rsidRPr="003833CC">
        <w:t>The accounting processes include detailed true-up adjustments to align projected costs with actual expenses, safeguarding fairness and financial accuracy.</w:t>
      </w:r>
    </w:p>
    <w:p w14:paraId="62D93160" w14:textId="77777777" w:rsidR="003833CC" w:rsidRPr="003833CC" w:rsidRDefault="003833CC" w:rsidP="003833CC">
      <w:pPr>
        <w:numPr>
          <w:ilvl w:val="0"/>
          <w:numId w:val="4"/>
        </w:numPr>
      </w:pPr>
      <w:r w:rsidRPr="003833CC">
        <w:t>Monthly minimum charges recorded during the ramp-up period stabilize cost allocation and protect ELL’s overall financial integrity.</w:t>
      </w:r>
    </w:p>
    <w:p w14:paraId="41480A17" w14:textId="77777777" w:rsidR="003833CC" w:rsidRPr="003833CC" w:rsidRDefault="003833CC" w:rsidP="003833CC">
      <w:pPr>
        <w:rPr>
          <w:b/>
          <w:bCs/>
        </w:rPr>
      </w:pPr>
      <w:r w:rsidRPr="003833CC">
        <w:rPr>
          <w:b/>
          <w:bCs/>
        </w:rPr>
        <w:t>Conclusion:</w:t>
      </w:r>
    </w:p>
    <w:p w14:paraId="03B7E282" w14:textId="77777777" w:rsidR="003833CC" w:rsidRPr="003833CC" w:rsidRDefault="003833CC" w:rsidP="003833CC">
      <w:pPr>
        <w:numPr>
          <w:ilvl w:val="0"/>
          <w:numId w:val="5"/>
        </w:numPr>
      </w:pPr>
      <w:r w:rsidRPr="003833CC">
        <w:t>O'Malley’s testimony outlines clear and consistent accounting treatments designed to maintain financial stability for ELL, transparently allocate project costs, and ensure equitable treatment of existing ratepayers in relation to the new significant customer project.</w:t>
      </w:r>
    </w:p>
    <w:p w14:paraId="201A4904"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53EFA"/>
    <w:multiLevelType w:val="multilevel"/>
    <w:tmpl w:val="7D244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51990"/>
    <w:multiLevelType w:val="multilevel"/>
    <w:tmpl w:val="C1A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11A7C"/>
    <w:multiLevelType w:val="multilevel"/>
    <w:tmpl w:val="83C80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5778B"/>
    <w:multiLevelType w:val="multilevel"/>
    <w:tmpl w:val="B29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8703D"/>
    <w:multiLevelType w:val="multilevel"/>
    <w:tmpl w:val="4FA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342028">
    <w:abstractNumId w:val="0"/>
  </w:num>
  <w:num w:numId="2" w16cid:durableId="1110465567">
    <w:abstractNumId w:val="2"/>
  </w:num>
  <w:num w:numId="3" w16cid:durableId="1046955600">
    <w:abstractNumId w:val="3"/>
  </w:num>
  <w:num w:numId="4" w16cid:durableId="1574389901">
    <w:abstractNumId w:val="1"/>
  </w:num>
  <w:num w:numId="5" w16cid:durableId="827090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CC"/>
    <w:rsid w:val="001E77D2"/>
    <w:rsid w:val="003833CC"/>
    <w:rsid w:val="00636502"/>
    <w:rsid w:val="0096775F"/>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04788"/>
  <w15:chartTrackingRefBased/>
  <w15:docId w15:val="{7E6AB632-7D7A-4D51-8764-EE8634D5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3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3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3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3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3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3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3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3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3CC"/>
    <w:rPr>
      <w:rFonts w:eastAsiaTheme="majorEastAsia" w:cstheme="majorBidi"/>
      <w:color w:val="272727" w:themeColor="text1" w:themeTint="D8"/>
    </w:rPr>
  </w:style>
  <w:style w:type="paragraph" w:styleId="Title">
    <w:name w:val="Title"/>
    <w:basedOn w:val="Normal"/>
    <w:next w:val="Normal"/>
    <w:link w:val="TitleChar"/>
    <w:uiPriority w:val="10"/>
    <w:qFormat/>
    <w:rsid w:val="00383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3CC"/>
    <w:pPr>
      <w:spacing w:before="160"/>
      <w:jc w:val="center"/>
    </w:pPr>
    <w:rPr>
      <w:i/>
      <w:iCs/>
      <w:color w:val="404040" w:themeColor="text1" w:themeTint="BF"/>
    </w:rPr>
  </w:style>
  <w:style w:type="character" w:customStyle="1" w:styleId="QuoteChar">
    <w:name w:val="Quote Char"/>
    <w:basedOn w:val="DefaultParagraphFont"/>
    <w:link w:val="Quote"/>
    <w:uiPriority w:val="29"/>
    <w:rsid w:val="003833CC"/>
    <w:rPr>
      <w:i/>
      <w:iCs/>
      <w:color w:val="404040" w:themeColor="text1" w:themeTint="BF"/>
    </w:rPr>
  </w:style>
  <w:style w:type="paragraph" w:styleId="ListParagraph">
    <w:name w:val="List Paragraph"/>
    <w:basedOn w:val="Normal"/>
    <w:uiPriority w:val="34"/>
    <w:qFormat/>
    <w:rsid w:val="003833CC"/>
    <w:pPr>
      <w:ind w:left="720"/>
      <w:contextualSpacing/>
    </w:pPr>
  </w:style>
  <w:style w:type="character" w:styleId="IntenseEmphasis">
    <w:name w:val="Intense Emphasis"/>
    <w:basedOn w:val="DefaultParagraphFont"/>
    <w:uiPriority w:val="21"/>
    <w:qFormat/>
    <w:rsid w:val="003833CC"/>
    <w:rPr>
      <w:i/>
      <w:iCs/>
      <w:color w:val="0F4761" w:themeColor="accent1" w:themeShade="BF"/>
    </w:rPr>
  </w:style>
  <w:style w:type="paragraph" w:styleId="IntenseQuote">
    <w:name w:val="Intense Quote"/>
    <w:basedOn w:val="Normal"/>
    <w:next w:val="Normal"/>
    <w:link w:val="IntenseQuoteChar"/>
    <w:uiPriority w:val="30"/>
    <w:qFormat/>
    <w:rsid w:val="00383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3CC"/>
    <w:rPr>
      <w:i/>
      <w:iCs/>
      <w:color w:val="0F4761" w:themeColor="accent1" w:themeShade="BF"/>
    </w:rPr>
  </w:style>
  <w:style w:type="character" w:styleId="IntenseReference">
    <w:name w:val="Intense Reference"/>
    <w:basedOn w:val="DefaultParagraphFont"/>
    <w:uiPriority w:val="32"/>
    <w:qFormat/>
    <w:rsid w:val="003833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483150">
      <w:bodyDiv w:val="1"/>
      <w:marLeft w:val="0"/>
      <w:marRight w:val="0"/>
      <w:marTop w:val="0"/>
      <w:marBottom w:val="0"/>
      <w:divBdr>
        <w:top w:val="none" w:sz="0" w:space="0" w:color="auto"/>
        <w:left w:val="none" w:sz="0" w:space="0" w:color="auto"/>
        <w:bottom w:val="none" w:sz="0" w:space="0" w:color="auto"/>
        <w:right w:val="none" w:sz="0" w:space="0" w:color="auto"/>
      </w:divBdr>
    </w:div>
    <w:div w:id="191426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2606</Characters>
  <Application>Microsoft Office Word</Application>
  <DocSecurity>0</DocSecurity>
  <Lines>49</Lines>
  <Paragraphs>29</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2025-05-27T23:48:00Z</dcterms:created>
  <dcterms:modified xsi:type="dcterms:W3CDTF">2025-05-27T23:48:00Z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28ee0419-1d5a-49c8-8910-913a05d93f69</vt:lpwstr>
  </property>
</Properties>
</file>