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AFCA0" w14:textId="77777777" w:rsidR="00693AB0" w:rsidRPr="00693AB0" w:rsidRDefault="00693AB0" w:rsidP="00693AB0">
      <w:pPr>
        <w:rPr>
          <w:b/>
          <w:bCs/>
        </w:rPr>
      </w:pPr>
      <w:r w:rsidRPr="00693AB0">
        <w:rPr>
          <w:b/>
          <w:bCs/>
        </w:rPr>
        <w:t>Context and Background:</w:t>
      </w:r>
    </w:p>
    <w:p w14:paraId="6ABA5C97" w14:textId="77777777" w:rsidR="00693AB0" w:rsidRPr="00693AB0" w:rsidRDefault="00693AB0" w:rsidP="00693AB0">
      <w:r w:rsidRPr="00693AB0">
        <w:t>Samrat Datta, Director of Advanced Network Planning at Entergy Services, LLC, presents testimony supporting Entergy Louisiana LLC’s (ELL) application by providing a detailed economic analysis of the substantial generation and transmission investments proposed for serving a major industrial customer project in Richland Parish, North Louisiana.</w:t>
      </w:r>
    </w:p>
    <w:p w14:paraId="0A7EFE3A" w14:textId="77777777" w:rsidR="00693AB0" w:rsidRPr="00693AB0" w:rsidRDefault="00693AB0" w:rsidP="00693AB0">
      <w:pPr>
        <w:rPr>
          <w:b/>
          <w:bCs/>
        </w:rPr>
      </w:pPr>
      <w:r w:rsidRPr="00693AB0">
        <w:rPr>
          <w:b/>
          <w:bCs/>
        </w:rPr>
        <w:t>Key Sections and Points:</w:t>
      </w:r>
    </w:p>
    <w:p w14:paraId="44EBA3BA" w14:textId="77777777" w:rsidR="00693AB0" w:rsidRPr="00693AB0" w:rsidRDefault="00693AB0" w:rsidP="00693AB0">
      <w:pPr>
        <w:rPr>
          <w:b/>
          <w:bCs/>
        </w:rPr>
      </w:pPr>
      <w:r w:rsidRPr="00693AB0">
        <w:rPr>
          <w:b/>
          <w:bCs/>
        </w:rPr>
        <w:t>I. Purpose of Testimony:</w:t>
      </w:r>
    </w:p>
    <w:p w14:paraId="1EF4FA4D" w14:textId="77777777" w:rsidR="00693AB0" w:rsidRPr="00693AB0" w:rsidRDefault="00693AB0" w:rsidP="00693AB0">
      <w:pPr>
        <w:numPr>
          <w:ilvl w:val="0"/>
          <w:numId w:val="1"/>
        </w:numPr>
      </w:pPr>
      <w:r w:rsidRPr="00693AB0">
        <w:t>Datta provides an economic assessment of the customer project, evaluating the incremental costs and benefits associated with proposed generation and transmission resources, customer payments, and impacts on ELL’s existing customers.</w:t>
      </w:r>
    </w:p>
    <w:p w14:paraId="37332CBF" w14:textId="77777777" w:rsidR="00693AB0" w:rsidRPr="00693AB0" w:rsidRDefault="00693AB0" w:rsidP="00693AB0">
      <w:pPr>
        <w:numPr>
          <w:ilvl w:val="0"/>
          <w:numId w:val="1"/>
        </w:numPr>
      </w:pPr>
      <w:r w:rsidRPr="00693AB0">
        <w:t>His analysis supports the regulatory approval sought by ELL, demonstrating benefits to existing customers and prudent management of risks.</w:t>
      </w:r>
    </w:p>
    <w:p w14:paraId="41486DE2" w14:textId="77777777" w:rsidR="00693AB0" w:rsidRPr="00693AB0" w:rsidRDefault="00693AB0" w:rsidP="00693AB0">
      <w:pPr>
        <w:rPr>
          <w:b/>
          <w:bCs/>
        </w:rPr>
      </w:pPr>
      <w:r w:rsidRPr="00693AB0">
        <w:rPr>
          <w:b/>
          <w:bCs/>
        </w:rPr>
        <w:t>II. Economic Analysis of the Customer Project:</w:t>
      </w:r>
    </w:p>
    <w:p w14:paraId="12AC506B" w14:textId="77777777" w:rsidR="00693AB0" w:rsidRPr="00693AB0" w:rsidRDefault="00693AB0" w:rsidP="00693AB0">
      <w:r w:rsidRPr="00693AB0">
        <w:t>Datta's analysis focuses on comparing incremental project costs (generation and transmission) with direct revenues and indirect benefits to existing customers, structured around the following elements:</w:t>
      </w:r>
    </w:p>
    <w:p w14:paraId="7795E020" w14:textId="77777777" w:rsidR="00693AB0" w:rsidRPr="00693AB0" w:rsidRDefault="00693AB0" w:rsidP="00693AB0">
      <w:pPr>
        <w:rPr>
          <w:b/>
          <w:bCs/>
        </w:rPr>
      </w:pPr>
      <w:r w:rsidRPr="00693AB0">
        <w:rPr>
          <w:b/>
          <w:bCs/>
        </w:rPr>
        <w:t>Costs Included in the Analysis:</w:t>
      </w:r>
    </w:p>
    <w:p w14:paraId="4BC421DD" w14:textId="77777777" w:rsidR="00693AB0" w:rsidRPr="00693AB0" w:rsidRDefault="00693AB0" w:rsidP="00693AB0">
      <w:pPr>
        <w:numPr>
          <w:ilvl w:val="0"/>
          <w:numId w:val="2"/>
        </w:numPr>
      </w:pPr>
      <w:r w:rsidRPr="00693AB0">
        <w:t>Revenue requirements for three proposed Combined Cycle Combustion Turbine (CCCT) units.</w:t>
      </w:r>
    </w:p>
    <w:p w14:paraId="3E53E70A" w14:textId="77777777" w:rsidR="00693AB0" w:rsidRPr="00693AB0" w:rsidRDefault="00693AB0" w:rsidP="00693AB0">
      <w:pPr>
        <w:numPr>
          <w:ilvl w:val="0"/>
          <w:numId w:val="2"/>
        </w:numPr>
      </w:pPr>
      <w:r w:rsidRPr="00693AB0">
        <w:t>Property tax obligations for these units.</w:t>
      </w:r>
    </w:p>
    <w:p w14:paraId="33D3369C" w14:textId="77777777" w:rsidR="00693AB0" w:rsidRPr="00693AB0" w:rsidRDefault="00693AB0" w:rsidP="00693AB0">
      <w:pPr>
        <w:numPr>
          <w:ilvl w:val="0"/>
          <w:numId w:val="2"/>
        </w:numPr>
      </w:pPr>
      <w:r w:rsidRPr="00693AB0">
        <w:t>Transmission Operations &amp; Maintenance (O&amp;M) costs.</w:t>
      </w:r>
    </w:p>
    <w:p w14:paraId="48E2DF8E" w14:textId="77777777" w:rsidR="00693AB0" w:rsidRPr="00693AB0" w:rsidRDefault="00693AB0" w:rsidP="00693AB0">
      <w:pPr>
        <w:numPr>
          <w:ilvl w:val="0"/>
          <w:numId w:val="2"/>
        </w:numPr>
      </w:pPr>
      <w:r w:rsidRPr="00693AB0">
        <w:t>Firm collateral and fixed fuel demands.</w:t>
      </w:r>
    </w:p>
    <w:p w14:paraId="42A71F1B" w14:textId="77777777" w:rsidR="00693AB0" w:rsidRPr="00693AB0" w:rsidRDefault="00693AB0" w:rsidP="00693AB0">
      <w:pPr>
        <w:numPr>
          <w:ilvl w:val="0"/>
          <w:numId w:val="2"/>
        </w:numPr>
      </w:pPr>
      <w:r w:rsidRPr="00693AB0">
        <w:t>Revenue requirements for Mt. Olive to Sarepta transmission upgrades (excluding post-ESA load share).</w:t>
      </w:r>
    </w:p>
    <w:p w14:paraId="20612474" w14:textId="77777777" w:rsidR="00693AB0" w:rsidRPr="00693AB0" w:rsidRDefault="00693AB0" w:rsidP="00693AB0">
      <w:pPr>
        <w:rPr>
          <w:b/>
          <w:bCs/>
        </w:rPr>
      </w:pPr>
      <w:r w:rsidRPr="00693AB0">
        <w:rPr>
          <w:b/>
          <w:bCs/>
        </w:rPr>
        <w:t>Benefits Included in the Analysis:</w:t>
      </w:r>
    </w:p>
    <w:p w14:paraId="49C04138" w14:textId="77777777" w:rsidR="00693AB0" w:rsidRPr="00693AB0" w:rsidRDefault="00693AB0" w:rsidP="00693AB0">
      <w:pPr>
        <w:numPr>
          <w:ilvl w:val="0"/>
          <w:numId w:val="3"/>
        </w:numPr>
      </w:pPr>
      <w:r w:rsidRPr="00693AB0">
        <w:t>Revenue from the customer during the ESA term.</w:t>
      </w:r>
    </w:p>
    <w:p w14:paraId="6F92DB54" w14:textId="77777777" w:rsidR="00693AB0" w:rsidRPr="00693AB0" w:rsidRDefault="00693AB0" w:rsidP="00693AB0">
      <w:pPr>
        <w:numPr>
          <w:ilvl w:val="0"/>
          <w:numId w:val="3"/>
        </w:numPr>
      </w:pPr>
      <w:r w:rsidRPr="00693AB0">
        <w:t>Resilience Rider and Storm Rider payments from the customer.</w:t>
      </w:r>
    </w:p>
    <w:p w14:paraId="6FF52B7C" w14:textId="77777777" w:rsidR="00693AB0" w:rsidRPr="00693AB0" w:rsidRDefault="00693AB0" w:rsidP="00693AB0">
      <w:pPr>
        <w:numPr>
          <w:ilvl w:val="0"/>
          <w:numId w:val="3"/>
        </w:numPr>
      </w:pPr>
      <w:r w:rsidRPr="00693AB0">
        <w:t>Fixed fuel revenue recovery, avoiding costs of otherwise required generation resources (Avoided BP25 Resources).</w:t>
      </w:r>
    </w:p>
    <w:p w14:paraId="2B922B8F" w14:textId="77777777" w:rsidR="00693AB0" w:rsidRPr="00693AB0" w:rsidRDefault="00693AB0" w:rsidP="00693AB0">
      <w:pPr>
        <w:numPr>
          <w:ilvl w:val="0"/>
          <w:numId w:val="3"/>
        </w:numPr>
      </w:pPr>
      <w:r w:rsidRPr="00693AB0">
        <w:t>Savings from avoiding the need to construct additional generation resources due to the infrastructure proposed (Page 6-8).</w:t>
      </w:r>
    </w:p>
    <w:p w14:paraId="219DDC00" w14:textId="77777777" w:rsidR="00693AB0" w:rsidRPr="00693AB0" w:rsidRDefault="00693AB0" w:rsidP="00693AB0">
      <w:pPr>
        <w:rPr>
          <w:b/>
          <w:bCs/>
        </w:rPr>
      </w:pPr>
      <w:r w:rsidRPr="00693AB0">
        <w:rPr>
          <w:b/>
          <w:bCs/>
        </w:rPr>
        <w:t>Major Findings:</w:t>
      </w:r>
    </w:p>
    <w:p w14:paraId="400DB7AE" w14:textId="77777777" w:rsidR="00693AB0" w:rsidRPr="00693AB0" w:rsidRDefault="00693AB0" w:rsidP="00693AB0">
      <w:pPr>
        <w:numPr>
          <w:ilvl w:val="0"/>
          <w:numId w:val="4"/>
        </w:numPr>
      </w:pPr>
      <w:r w:rsidRPr="00693AB0">
        <w:lastRenderedPageBreak/>
        <w:t xml:space="preserve">ELL customers, aside from the project </w:t>
      </w:r>
      <w:proofErr w:type="gramStart"/>
      <w:r w:rsidRPr="00693AB0">
        <w:t>customer</w:t>
      </w:r>
      <w:proofErr w:type="gramEnd"/>
      <w:r w:rsidRPr="00693AB0">
        <w:t>, are significantly shielded from incremental costs because the customer is directly funding substantial portions of the infrastructure costs.</w:t>
      </w:r>
    </w:p>
    <w:p w14:paraId="694C5338" w14:textId="77777777" w:rsidR="00693AB0" w:rsidRPr="00693AB0" w:rsidRDefault="00693AB0" w:rsidP="00693AB0">
      <w:pPr>
        <w:numPr>
          <w:ilvl w:val="0"/>
          <w:numId w:val="4"/>
        </w:numPr>
      </w:pPr>
      <w:r w:rsidRPr="00693AB0">
        <w:t>Over the ESA term (2026-2041), the financial contributions from the customer and direct service revenues offset incremental generation and transmission costs.</w:t>
      </w:r>
    </w:p>
    <w:p w14:paraId="30217059" w14:textId="77777777" w:rsidR="00693AB0" w:rsidRPr="00693AB0" w:rsidRDefault="00693AB0" w:rsidP="00693AB0">
      <w:pPr>
        <w:numPr>
          <w:ilvl w:val="0"/>
          <w:numId w:val="4"/>
        </w:numPr>
      </w:pPr>
      <w:r w:rsidRPr="00693AB0">
        <w:t>Upon ESA termination, remaining resources significantly benefit other customers by avoiding the need for additional future generation construction.</w:t>
      </w:r>
    </w:p>
    <w:p w14:paraId="0DDFDA7B" w14:textId="77777777" w:rsidR="00693AB0" w:rsidRPr="00693AB0" w:rsidRDefault="00693AB0" w:rsidP="00693AB0">
      <w:pPr>
        <w:numPr>
          <w:ilvl w:val="0"/>
          <w:numId w:val="4"/>
        </w:numPr>
      </w:pPr>
      <w:r w:rsidRPr="00693AB0">
        <w:t>The analysis conservatively assumes termination of the ESA after the initial 15-year term, concluding substantial net benefits to ELL’s other customers both during and after the ESA period (Pages 10-14).</w:t>
      </w:r>
    </w:p>
    <w:p w14:paraId="5FCD537C" w14:textId="77777777" w:rsidR="00693AB0" w:rsidRPr="00693AB0" w:rsidRDefault="00693AB0" w:rsidP="00693AB0">
      <w:pPr>
        <w:rPr>
          <w:b/>
          <w:bCs/>
        </w:rPr>
      </w:pPr>
      <w:r w:rsidRPr="00693AB0">
        <w:rPr>
          <w:b/>
          <w:bCs/>
        </w:rPr>
        <w:t>Financial Summary and Tables:</w:t>
      </w:r>
    </w:p>
    <w:p w14:paraId="63089BBA" w14:textId="77777777" w:rsidR="00693AB0" w:rsidRPr="00693AB0" w:rsidRDefault="00693AB0" w:rsidP="00693AB0">
      <w:pPr>
        <w:numPr>
          <w:ilvl w:val="0"/>
          <w:numId w:val="5"/>
        </w:numPr>
      </w:pPr>
      <w:r w:rsidRPr="00693AB0">
        <w:t>Datta provides detailed economic summaries and net benefit calculations demonstrating that existing customers experience substantial cost savings and minimized risks.</w:t>
      </w:r>
    </w:p>
    <w:p w14:paraId="5C4B2D0C" w14:textId="77777777" w:rsidR="00693AB0" w:rsidRPr="00693AB0" w:rsidRDefault="00693AB0" w:rsidP="00693AB0">
      <w:pPr>
        <w:numPr>
          <w:ilvl w:val="0"/>
          <w:numId w:val="5"/>
        </w:numPr>
      </w:pPr>
      <w:r w:rsidRPr="00693AB0">
        <w:t>A detailed summary table presented on page 17 shows clear net benefits during and beyond the ESA period, despite certain details being redacted (Pages 16-18).</w:t>
      </w:r>
    </w:p>
    <w:p w14:paraId="4B0C1693" w14:textId="77777777" w:rsidR="00693AB0" w:rsidRPr="00693AB0" w:rsidRDefault="00693AB0" w:rsidP="00693AB0">
      <w:pPr>
        <w:rPr>
          <w:b/>
          <w:bCs/>
        </w:rPr>
      </w:pPr>
      <w:r w:rsidRPr="00693AB0">
        <w:rPr>
          <w:b/>
          <w:bCs/>
        </w:rPr>
        <w:t>III. Assumptions and Methodology:</w:t>
      </w:r>
    </w:p>
    <w:p w14:paraId="29CAF0DA" w14:textId="77777777" w:rsidR="00693AB0" w:rsidRPr="00693AB0" w:rsidRDefault="00693AB0" w:rsidP="00693AB0">
      <w:pPr>
        <w:numPr>
          <w:ilvl w:val="0"/>
          <w:numId w:val="6"/>
        </w:numPr>
      </w:pPr>
      <w:r w:rsidRPr="00693AB0">
        <w:t>Datta’s economic analysis incorporates conservative assumptions to ensure robustness:</w:t>
      </w:r>
    </w:p>
    <w:p w14:paraId="6986A0CD" w14:textId="77777777" w:rsidR="00693AB0" w:rsidRPr="00693AB0" w:rsidRDefault="00693AB0" w:rsidP="00693AB0">
      <w:pPr>
        <w:numPr>
          <w:ilvl w:val="1"/>
          <w:numId w:val="6"/>
        </w:numPr>
      </w:pPr>
      <w:r w:rsidRPr="00693AB0">
        <w:t>Customer terminates ESA after the initial term.</w:t>
      </w:r>
    </w:p>
    <w:p w14:paraId="6CD3CEDB" w14:textId="77777777" w:rsidR="00693AB0" w:rsidRPr="00693AB0" w:rsidRDefault="00693AB0" w:rsidP="00693AB0">
      <w:pPr>
        <w:numPr>
          <w:ilvl w:val="1"/>
          <w:numId w:val="6"/>
        </w:numPr>
      </w:pPr>
      <w:r w:rsidRPr="00693AB0">
        <w:t>Projected costs and revenues reflect reasonable market and operational estimates.</w:t>
      </w:r>
    </w:p>
    <w:p w14:paraId="14B3A777" w14:textId="77777777" w:rsidR="00693AB0" w:rsidRPr="00693AB0" w:rsidRDefault="00693AB0" w:rsidP="00693AB0">
      <w:pPr>
        <w:numPr>
          <w:ilvl w:val="1"/>
          <w:numId w:val="6"/>
        </w:numPr>
      </w:pPr>
      <w:r w:rsidRPr="00693AB0">
        <w:t>Analysis does not capture variable production cost impacts, further emphasizing conservatism.</w:t>
      </w:r>
    </w:p>
    <w:p w14:paraId="4B2C361B" w14:textId="77777777" w:rsidR="00693AB0" w:rsidRPr="00693AB0" w:rsidRDefault="00693AB0" w:rsidP="00693AB0">
      <w:pPr>
        <w:rPr>
          <w:b/>
          <w:bCs/>
        </w:rPr>
      </w:pPr>
      <w:r w:rsidRPr="00693AB0">
        <w:rPr>
          <w:b/>
          <w:bCs/>
        </w:rPr>
        <w:t>Exhibits Provided:</w:t>
      </w:r>
    </w:p>
    <w:p w14:paraId="7A247449" w14:textId="77777777" w:rsidR="00693AB0" w:rsidRPr="00693AB0" w:rsidRDefault="00693AB0" w:rsidP="00693AB0">
      <w:pPr>
        <w:numPr>
          <w:ilvl w:val="0"/>
          <w:numId w:val="7"/>
        </w:numPr>
      </w:pPr>
      <w:r w:rsidRPr="00693AB0">
        <w:rPr>
          <w:b/>
          <w:bCs/>
        </w:rPr>
        <w:t>Exhibit SD-1</w:t>
      </w:r>
      <w:r w:rsidRPr="00693AB0">
        <w:t>: Listing of prior testimonies filed by Datta.</w:t>
      </w:r>
    </w:p>
    <w:p w14:paraId="638E037D" w14:textId="77777777" w:rsidR="00693AB0" w:rsidRPr="00693AB0" w:rsidRDefault="00693AB0" w:rsidP="00693AB0">
      <w:pPr>
        <w:numPr>
          <w:ilvl w:val="0"/>
          <w:numId w:val="7"/>
        </w:numPr>
      </w:pPr>
      <w:r w:rsidRPr="00693AB0">
        <w:rPr>
          <w:b/>
          <w:bCs/>
        </w:rPr>
        <w:t>Exhibit SD-2</w:t>
      </w:r>
      <w:r w:rsidRPr="00693AB0">
        <w:t>: Economic analysis workbook (highly sensitive and omitted from the public version).</w:t>
      </w:r>
    </w:p>
    <w:p w14:paraId="5A28ACB3" w14:textId="77777777" w:rsidR="00693AB0" w:rsidRPr="00693AB0" w:rsidRDefault="00693AB0" w:rsidP="00693AB0">
      <w:pPr>
        <w:rPr>
          <w:b/>
          <w:bCs/>
        </w:rPr>
      </w:pPr>
      <w:r w:rsidRPr="00693AB0">
        <w:rPr>
          <w:b/>
          <w:bCs/>
        </w:rPr>
        <w:t>Conclusion:</w:t>
      </w:r>
    </w:p>
    <w:p w14:paraId="65762425" w14:textId="77777777" w:rsidR="00693AB0" w:rsidRPr="00693AB0" w:rsidRDefault="00693AB0" w:rsidP="00693AB0">
      <w:pPr>
        <w:numPr>
          <w:ilvl w:val="0"/>
          <w:numId w:val="8"/>
        </w:numPr>
      </w:pPr>
      <w:r w:rsidRPr="00693AB0">
        <w:t>Datta concludes that the substantial economic benefits derived from the customer-funded contributions and the revenue flows from the ESA ensure a significantly positive economic impact for ELL’s other customers.</w:t>
      </w:r>
    </w:p>
    <w:p w14:paraId="00558679" w14:textId="77777777" w:rsidR="00693AB0" w:rsidRPr="00693AB0" w:rsidRDefault="00693AB0" w:rsidP="00693AB0">
      <w:pPr>
        <w:numPr>
          <w:ilvl w:val="0"/>
          <w:numId w:val="8"/>
        </w:numPr>
      </w:pPr>
      <w:r w:rsidRPr="00693AB0">
        <w:t>His testimony strongly supports regulatory approval by demonstrating prudent risk management and clear net benefits.</w:t>
      </w:r>
    </w:p>
    <w:p w14:paraId="7743B218" w14:textId="77777777" w:rsidR="001E77D2" w:rsidRDefault="001E77D2"/>
    <w:sectPr w:rsidR="001E7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223B6"/>
    <w:multiLevelType w:val="multilevel"/>
    <w:tmpl w:val="4D70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97D26"/>
    <w:multiLevelType w:val="multilevel"/>
    <w:tmpl w:val="E9F6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F6B91"/>
    <w:multiLevelType w:val="multilevel"/>
    <w:tmpl w:val="C5F4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F0CD5"/>
    <w:multiLevelType w:val="multilevel"/>
    <w:tmpl w:val="FAA0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D11C3"/>
    <w:multiLevelType w:val="multilevel"/>
    <w:tmpl w:val="2A5C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B5EA0"/>
    <w:multiLevelType w:val="multilevel"/>
    <w:tmpl w:val="D790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660D29"/>
    <w:multiLevelType w:val="multilevel"/>
    <w:tmpl w:val="22B4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D3A03"/>
    <w:multiLevelType w:val="multilevel"/>
    <w:tmpl w:val="7136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290748">
    <w:abstractNumId w:val="7"/>
  </w:num>
  <w:num w:numId="2" w16cid:durableId="1684045527">
    <w:abstractNumId w:val="3"/>
  </w:num>
  <w:num w:numId="3" w16cid:durableId="430006359">
    <w:abstractNumId w:val="5"/>
  </w:num>
  <w:num w:numId="4" w16cid:durableId="1000694792">
    <w:abstractNumId w:val="2"/>
  </w:num>
  <w:num w:numId="5" w16cid:durableId="1270435592">
    <w:abstractNumId w:val="6"/>
  </w:num>
  <w:num w:numId="6" w16cid:durableId="1767655793">
    <w:abstractNumId w:val="0"/>
  </w:num>
  <w:num w:numId="7" w16cid:durableId="1358236700">
    <w:abstractNumId w:val="1"/>
  </w:num>
  <w:num w:numId="8" w16cid:durableId="1497958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B0"/>
    <w:rsid w:val="001E77D2"/>
    <w:rsid w:val="00636502"/>
    <w:rsid w:val="00693AB0"/>
    <w:rsid w:val="0096775F"/>
    <w:rsid w:val="00DC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827D6"/>
  <w15:chartTrackingRefBased/>
  <w15:docId w15:val="{08FC30F1-462A-4C16-ABDD-B3144F24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3238</Characters>
  <Application>Microsoft Office Word</Application>
  <DocSecurity>0</DocSecurity>
  <Lines>63</Lines>
  <Paragraphs>38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Gharaibeh</dc:creator>
  <cp:keywords/>
  <dc:description/>
  <cp:lastModifiedBy>Mohammad Gharaibeh</cp:lastModifiedBy>
  <cp:revision>1</cp:revision>
  <dcterms:created xsi:type="dcterms:W3CDTF">2025-05-27T23:48:00Z</dcterms:created>
  <dcterms:modified xsi:type="dcterms:W3CDTF">2025-05-27T23:49:00Z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44ea8dae-77d1-45f4-be0a-3db71693ca1f</vt:lpwstr>
  </property>
</Properties>
</file>