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1263A" w14:textId="77777777" w:rsidR="000F23DC" w:rsidRPr="000F23DC" w:rsidRDefault="000F23DC" w:rsidP="000F23DC">
      <w:pPr>
        <w:rPr>
          <w:b/>
          <w:bCs/>
        </w:rPr>
      </w:pPr>
      <w:r w:rsidRPr="000F23DC">
        <w:rPr>
          <w:b/>
          <w:bCs/>
        </w:rPr>
        <w:t>Overview:</w:t>
      </w:r>
    </w:p>
    <w:p w14:paraId="18C44ECC" w14:textId="77777777" w:rsidR="000F23DC" w:rsidRPr="000F23DC" w:rsidRDefault="000F23DC" w:rsidP="000F23DC">
      <w:r w:rsidRPr="000F23DC">
        <w:t xml:space="preserve">Entergy </w:t>
      </w:r>
      <w:proofErr w:type="gramStart"/>
      <w:r w:rsidRPr="000F23DC">
        <w:t>Louisiana,</w:t>
      </w:r>
      <w:proofErr w:type="gramEnd"/>
      <w:r w:rsidRPr="000F23DC">
        <w:t xml:space="preserve"> LLC (ELL) </w:t>
      </w:r>
      <w:proofErr w:type="gramStart"/>
      <w:r w:rsidRPr="000F23DC">
        <w:t>submitted an application</w:t>
      </w:r>
      <w:proofErr w:type="gramEnd"/>
      <w:r w:rsidRPr="000F23DC">
        <w:t xml:space="preserve"> to the Louisiana Public Service Commission (LPSC) seeking approval for constructing generation and transmission resources required to serve a substantial industrial customer in Richland Parish, North Louisiana. The project, involving at least $5 billion investment, aims to provide significant economic benefits, creating 300 to 500 direct jobs averaging $82,000 annually.</w:t>
      </w:r>
    </w:p>
    <w:p w14:paraId="3E0FA5C7" w14:textId="77777777" w:rsidR="000F23DC" w:rsidRPr="000F23DC" w:rsidRDefault="000F23DC" w:rsidP="000F23DC">
      <w:pPr>
        <w:rPr>
          <w:b/>
          <w:bCs/>
        </w:rPr>
      </w:pPr>
      <w:r w:rsidRPr="000F23DC">
        <w:rPr>
          <w:b/>
          <w:bCs/>
        </w:rPr>
        <w:t>Key Components of the Application:</w:t>
      </w:r>
    </w:p>
    <w:p w14:paraId="79578993" w14:textId="77777777" w:rsidR="000F23DC" w:rsidRPr="000F23DC" w:rsidRDefault="000F23DC" w:rsidP="000F23DC">
      <w:pPr>
        <w:rPr>
          <w:b/>
          <w:bCs/>
        </w:rPr>
      </w:pPr>
      <w:r w:rsidRPr="000F23DC">
        <w:rPr>
          <w:b/>
          <w:bCs/>
        </w:rPr>
        <w:t>1. Generation Resources:</w:t>
      </w:r>
    </w:p>
    <w:p w14:paraId="2E45B4C7" w14:textId="77777777" w:rsidR="000F23DC" w:rsidRPr="000F23DC" w:rsidRDefault="000F23DC" w:rsidP="000F23DC">
      <w:pPr>
        <w:numPr>
          <w:ilvl w:val="0"/>
          <w:numId w:val="1"/>
        </w:numPr>
      </w:pPr>
      <w:r w:rsidRPr="000F23DC">
        <w:rPr>
          <w:b/>
          <w:bCs/>
        </w:rPr>
        <w:t>Three Combined Cycle Combustion Turbine (CCCT) Units</w:t>
      </w:r>
      <w:r w:rsidRPr="000F23DC">
        <w:t>:</w:t>
      </w:r>
    </w:p>
    <w:p w14:paraId="4335112E" w14:textId="77777777" w:rsidR="000F23DC" w:rsidRPr="000F23DC" w:rsidRDefault="000F23DC" w:rsidP="000F23DC">
      <w:pPr>
        <w:numPr>
          <w:ilvl w:val="1"/>
          <w:numId w:val="1"/>
        </w:numPr>
      </w:pPr>
      <w:r w:rsidRPr="000F23DC">
        <w:t>Two CCCTs at Franklin Farms near the customer's facility.</w:t>
      </w:r>
    </w:p>
    <w:p w14:paraId="65E0F836" w14:textId="77777777" w:rsidR="000F23DC" w:rsidRPr="000F23DC" w:rsidRDefault="000F23DC" w:rsidP="000F23DC">
      <w:pPr>
        <w:numPr>
          <w:ilvl w:val="1"/>
          <w:numId w:val="1"/>
        </w:numPr>
      </w:pPr>
      <w:r w:rsidRPr="000F23DC">
        <w:t>One CCCT in the Southeast Louisiana Planning Area (SELPA), location to be determined.</w:t>
      </w:r>
    </w:p>
    <w:p w14:paraId="029F1C0B" w14:textId="77777777" w:rsidR="000F23DC" w:rsidRPr="000F23DC" w:rsidRDefault="000F23DC" w:rsidP="000F23DC">
      <w:pPr>
        <w:numPr>
          <w:ilvl w:val="1"/>
          <w:numId w:val="1"/>
        </w:numPr>
      </w:pPr>
      <w:r w:rsidRPr="000F23DC">
        <w:t>Each unit: 754 MW, hydrogen co-firing capable, and future Carbon Capture and Storage (CCS) ready.</w:t>
      </w:r>
    </w:p>
    <w:p w14:paraId="2D037F1B" w14:textId="77777777" w:rsidR="000F23DC" w:rsidRPr="000F23DC" w:rsidRDefault="000F23DC" w:rsidP="000F23DC">
      <w:pPr>
        <w:rPr>
          <w:b/>
          <w:bCs/>
        </w:rPr>
      </w:pPr>
      <w:r w:rsidRPr="000F23DC">
        <w:rPr>
          <w:b/>
          <w:bCs/>
        </w:rPr>
        <w:t>2. Transmission Infrastructure:</w:t>
      </w:r>
    </w:p>
    <w:p w14:paraId="7A2FEF9F" w14:textId="77777777" w:rsidR="000F23DC" w:rsidRPr="000F23DC" w:rsidRDefault="000F23DC" w:rsidP="000F23DC">
      <w:pPr>
        <w:numPr>
          <w:ilvl w:val="0"/>
          <w:numId w:val="2"/>
        </w:numPr>
      </w:pPr>
      <w:r w:rsidRPr="000F23DC">
        <w:rPr>
          <w:b/>
          <w:bCs/>
        </w:rPr>
        <w:t>Customer-Funded Facilities</w:t>
      </w:r>
      <w:r w:rsidRPr="000F23DC">
        <w:t>:</w:t>
      </w:r>
    </w:p>
    <w:p w14:paraId="1C089C2D" w14:textId="77777777" w:rsidR="000F23DC" w:rsidRPr="000F23DC" w:rsidRDefault="000F23DC" w:rsidP="000F23DC">
      <w:pPr>
        <w:numPr>
          <w:ilvl w:val="1"/>
          <w:numId w:val="2"/>
        </w:numPr>
      </w:pPr>
      <w:r w:rsidRPr="000F23DC">
        <w:t>New substations: Smalling, Car Gas Road, and six customer-owned substations.</w:t>
      </w:r>
    </w:p>
    <w:p w14:paraId="115C361A" w14:textId="77777777" w:rsidR="000F23DC" w:rsidRPr="000F23DC" w:rsidRDefault="000F23DC" w:rsidP="000F23DC">
      <w:pPr>
        <w:numPr>
          <w:ilvl w:val="1"/>
          <w:numId w:val="2"/>
        </w:numPr>
      </w:pPr>
      <w:r w:rsidRPr="000F23DC">
        <w:t>New 500 kV and 230 kV transmission lines connecting these substations.</w:t>
      </w:r>
    </w:p>
    <w:p w14:paraId="19944F6D" w14:textId="77777777" w:rsidR="000F23DC" w:rsidRPr="000F23DC" w:rsidRDefault="000F23DC" w:rsidP="000F23DC">
      <w:pPr>
        <w:numPr>
          <w:ilvl w:val="0"/>
          <w:numId w:val="2"/>
        </w:numPr>
      </w:pPr>
      <w:r w:rsidRPr="000F23DC">
        <w:rPr>
          <w:b/>
          <w:bCs/>
        </w:rPr>
        <w:t>System Improvement Facilities</w:t>
      </w:r>
      <w:r w:rsidRPr="000F23DC">
        <w:t>:</w:t>
      </w:r>
    </w:p>
    <w:p w14:paraId="69B7C31D" w14:textId="77777777" w:rsidR="000F23DC" w:rsidRPr="000F23DC" w:rsidRDefault="000F23DC" w:rsidP="000F23DC">
      <w:pPr>
        <w:numPr>
          <w:ilvl w:val="1"/>
          <w:numId w:val="2"/>
        </w:numPr>
      </w:pPr>
      <w:r w:rsidRPr="000F23DC">
        <w:t>Mount Olive to Sarepta 500 kV Transmission Line (60 miles).</w:t>
      </w:r>
    </w:p>
    <w:p w14:paraId="49C52A6B" w14:textId="77777777" w:rsidR="000F23DC" w:rsidRPr="000F23DC" w:rsidRDefault="000F23DC" w:rsidP="000F23DC">
      <w:pPr>
        <w:numPr>
          <w:ilvl w:val="1"/>
          <w:numId w:val="2"/>
        </w:numPr>
      </w:pPr>
      <w:r w:rsidRPr="000F23DC">
        <w:t>Upgrades at Sterlington 500 kV Substation to improve transmission capability.</w:t>
      </w:r>
    </w:p>
    <w:p w14:paraId="2BF92084" w14:textId="77777777" w:rsidR="000F23DC" w:rsidRPr="000F23DC" w:rsidRDefault="000F23DC" w:rsidP="000F23DC">
      <w:pPr>
        <w:rPr>
          <w:b/>
          <w:bCs/>
        </w:rPr>
      </w:pPr>
      <w:r w:rsidRPr="000F23DC">
        <w:rPr>
          <w:b/>
          <w:bCs/>
        </w:rPr>
        <w:t>3. Corporate Sustainability Rider (CSR):</w:t>
      </w:r>
    </w:p>
    <w:p w14:paraId="0F613309" w14:textId="77777777" w:rsidR="000F23DC" w:rsidRPr="000F23DC" w:rsidRDefault="000F23DC" w:rsidP="000F23DC">
      <w:pPr>
        <w:numPr>
          <w:ilvl w:val="0"/>
          <w:numId w:val="3"/>
        </w:numPr>
      </w:pPr>
      <w:r w:rsidRPr="000F23DC">
        <w:t>Tailored to the customer’s sustainability requirements:</w:t>
      </w:r>
    </w:p>
    <w:p w14:paraId="1EEF93E6" w14:textId="77777777" w:rsidR="000F23DC" w:rsidRPr="000F23DC" w:rsidRDefault="000F23DC" w:rsidP="000F23DC">
      <w:pPr>
        <w:numPr>
          <w:ilvl w:val="1"/>
          <w:numId w:val="3"/>
        </w:numPr>
      </w:pPr>
      <w:r w:rsidRPr="000F23DC">
        <w:t>1,500 MW additional solar/hybrid renewable resources beyond prior LPSC-approved levels.</w:t>
      </w:r>
    </w:p>
    <w:p w14:paraId="680997CC" w14:textId="77777777" w:rsidR="000F23DC" w:rsidRPr="000F23DC" w:rsidRDefault="000F23DC" w:rsidP="000F23DC">
      <w:pPr>
        <w:numPr>
          <w:ilvl w:val="1"/>
          <w:numId w:val="3"/>
        </w:numPr>
      </w:pPr>
      <w:r w:rsidRPr="000F23DC">
        <w:t>CCS implementation at Lake Charles Power Station.</w:t>
      </w:r>
    </w:p>
    <w:p w14:paraId="5311649F" w14:textId="77777777" w:rsidR="000F23DC" w:rsidRPr="000F23DC" w:rsidRDefault="000F23DC" w:rsidP="000F23DC">
      <w:pPr>
        <w:numPr>
          <w:ilvl w:val="1"/>
          <w:numId w:val="3"/>
        </w:numPr>
      </w:pPr>
      <w:r w:rsidRPr="000F23DC">
        <w:t>Potential future wind and nuclear energy resources.</w:t>
      </w:r>
    </w:p>
    <w:p w14:paraId="5D4DF6BC" w14:textId="77777777" w:rsidR="000F23DC" w:rsidRPr="000F23DC" w:rsidRDefault="000F23DC" w:rsidP="000F23DC">
      <w:pPr>
        <w:numPr>
          <w:ilvl w:val="1"/>
          <w:numId w:val="3"/>
        </w:numPr>
      </w:pPr>
      <w:r w:rsidRPr="000F23DC">
        <w:t>Commitment to Entergy's "Power to Care" program (up to $1 million matched contribution annually).</w:t>
      </w:r>
    </w:p>
    <w:p w14:paraId="12FF755F" w14:textId="77777777" w:rsidR="000F23DC" w:rsidRPr="000F23DC" w:rsidRDefault="000F23DC" w:rsidP="000F23DC">
      <w:pPr>
        <w:rPr>
          <w:b/>
          <w:bCs/>
        </w:rPr>
      </w:pPr>
      <w:r w:rsidRPr="000F23DC">
        <w:rPr>
          <w:b/>
          <w:bCs/>
        </w:rPr>
        <w:t>4. Financial Structure and Ratepayer Protection:</w:t>
      </w:r>
    </w:p>
    <w:p w14:paraId="6D4686A4" w14:textId="77777777" w:rsidR="000F23DC" w:rsidRPr="000F23DC" w:rsidRDefault="000F23DC" w:rsidP="000F23DC">
      <w:pPr>
        <w:numPr>
          <w:ilvl w:val="0"/>
          <w:numId w:val="4"/>
        </w:numPr>
      </w:pPr>
      <w:r w:rsidRPr="000F23DC">
        <w:rPr>
          <w:b/>
          <w:bCs/>
        </w:rPr>
        <w:t>Customer Contributions</w:t>
      </w:r>
      <w:r w:rsidRPr="000F23DC">
        <w:t>:</w:t>
      </w:r>
    </w:p>
    <w:p w14:paraId="45A82635" w14:textId="77777777" w:rsidR="000F23DC" w:rsidRPr="000F23DC" w:rsidRDefault="000F23DC" w:rsidP="000F23DC">
      <w:pPr>
        <w:numPr>
          <w:ilvl w:val="1"/>
          <w:numId w:val="4"/>
        </w:numPr>
      </w:pPr>
      <w:r w:rsidRPr="000F23DC">
        <w:lastRenderedPageBreak/>
        <w:t>Contribution in Aid of Construction (CIAC) for customer-specific transmission facilities.</w:t>
      </w:r>
    </w:p>
    <w:p w14:paraId="5ECE96FE" w14:textId="77777777" w:rsidR="000F23DC" w:rsidRPr="000F23DC" w:rsidRDefault="000F23DC" w:rsidP="000F23DC">
      <w:pPr>
        <w:numPr>
          <w:ilvl w:val="1"/>
          <w:numId w:val="4"/>
        </w:numPr>
      </w:pPr>
      <w:r w:rsidRPr="000F23DC">
        <w:t>Minimum monthly charges covering full annual revenue requirements for CCCTs during ESA term.</w:t>
      </w:r>
    </w:p>
    <w:p w14:paraId="36838303" w14:textId="77777777" w:rsidR="000F23DC" w:rsidRPr="000F23DC" w:rsidRDefault="000F23DC" w:rsidP="000F23DC">
      <w:pPr>
        <w:numPr>
          <w:ilvl w:val="1"/>
          <w:numId w:val="4"/>
        </w:numPr>
      </w:pPr>
      <w:r w:rsidRPr="000F23DC">
        <w:t>Customer participation in standard rate schedule LLHLFPS-L, including significant contributions to storm recovery and resilience programs.</w:t>
      </w:r>
    </w:p>
    <w:p w14:paraId="6E45E3C7" w14:textId="77777777" w:rsidR="000F23DC" w:rsidRPr="000F23DC" w:rsidRDefault="000F23DC" w:rsidP="000F23DC">
      <w:pPr>
        <w:numPr>
          <w:ilvl w:val="0"/>
          <w:numId w:val="4"/>
        </w:numPr>
      </w:pPr>
      <w:r w:rsidRPr="000F23DC">
        <w:rPr>
          <w:b/>
          <w:bCs/>
        </w:rPr>
        <w:t>Cost Allocation</w:t>
      </w:r>
      <w:r w:rsidRPr="000F23DC">
        <w:t>:</w:t>
      </w:r>
    </w:p>
    <w:p w14:paraId="0A403365" w14:textId="77777777" w:rsidR="000F23DC" w:rsidRPr="000F23DC" w:rsidRDefault="000F23DC" w:rsidP="000F23DC">
      <w:pPr>
        <w:numPr>
          <w:ilvl w:val="1"/>
          <w:numId w:val="4"/>
        </w:numPr>
      </w:pPr>
      <w:r w:rsidRPr="000F23DC">
        <w:t>Customer directly covers substantial infrastructure costs, protecting other ratepayers from rate impacts.</w:t>
      </w:r>
    </w:p>
    <w:p w14:paraId="5C0064F5" w14:textId="77777777" w:rsidR="000F23DC" w:rsidRPr="000F23DC" w:rsidRDefault="000F23DC" w:rsidP="000F23DC">
      <w:pPr>
        <w:numPr>
          <w:ilvl w:val="1"/>
          <w:numId w:val="4"/>
        </w:numPr>
      </w:pPr>
      <w:r w:rsidRPr="000F23DC">
        <w:t>Benefits for other customers through substantial cost-sharing.</w:t>
      </w:r>
    </w:p>
    <w:p w14:paraId="162DFED9" w14:textId="77777777" w:rsidR="000F23DC" w:rsidRPr="000F23DC" w:rsidRDefault="000F23DC" w:rsidP="000F23DC">
      <w:pPr>
        <w:rPr>
          <w:b/>
          <w:bCs/>
        </w:rPr>
      </w:pPr>
      <w:r w:rsidRPr="000F23DC">
        <w:rPr>
          <w:b/>
          <w:bCs/>
        </w:rPr>
        <w:t>5. Economic and Public Interest Justification:</w:t>
      </w:r>
    </w:p>
    <w:p w14:paraId="7D967743" w14:textId="77777777" w:rsidR="000F23DC" w:rsidRPr="000F23DC" w:rsidRDefault="000F23DC" w:rsidP="000F23DC">
      <w:pPr>
        <w:numPr>
          <w:ilvl w:val="0"/>
          <w:numId w:val="5"/>
        </w:numPr>
      </w:pPr>
      <w:r w:rsidRPr="000F23DC">
        <w:t>Significant regional economic impact (job creation, economic revitalization).</w:t>
      </w:r>
    </w:p>
    <w:p w14:paraId="106A3A88" w14:textId="77777777" w:rsidR="000F23DC" w:rsidRPr="000F23DC" w:rsidRDefault="000F23DC" w:rsidP="000F23DC">
      <w:pPr>
        <w:numPr>
          <w:ilvl w:val="0"/>
          <w:numId w:val="5"/>
        </w:numPr>
      </w:pPr>
      <w:r w:rsidRPr="000F23DC">
        <w:t>Substantial financial and sustainability benefits for all ELL customers.</w:t>
      </w:r>
    </w:p>
    <w:p w14:paraId="56542A2E" w14:textId="77777777" w:rsidR="000F23DC" w:rsidRPr="000F23DC" w:rsidRDefault="000F23DC" w:rsidP="000F23DC">
      <w:pPr>
        <w:numPr>
          <w:ilvl w:val="0"/>
          <w:numId w:val="5"/>
        </w:numPr>
      </w:pPr>
      <w:r w:rsidRPr="000F23DC">
        <w:t>Customer contributions minimize financial risk and ensure equitable rate treatment.</w:t>
      </w:r>
    </w:p>
    <w:p w14:paraId="75E2F815" w14:textId="77777777" w:rsidR="000F23DC" w:rsidRPr="000F23DC" w:rsidRDefault="000F23DC" w:rsidP="000F23DC">
      <w:pPr>
        <w:rPr>
          <w:b/>
          <w:bCs/>
        </w:rPr>
      </w:pPr>
      <w:r w:rsidRPr="000F23DC">
        <w:rPr>
          <w:b/>
          <w:bCs/>
        </w:rPr>
        <w:t>6. Regulatory Compliance and Exemptions Requested:</w:t>
      </w:r>
    </w:p>
    <w:p w14:paraId="1F542183" w14:textId="77777777" w:rsidR="000F23DC" w:rsidRPr="000F23DC" w:rsidRDefault="000F23DC" w:rsidP="000F23DC">
      <w:pPr>
        <w:numPr>
          <w:ilvl w:val="0"/>
          <w:numId w:val="6"/>
        </w:numPr>
      </w:pPr>
      <w:r w:rsidRPr="000F23DC">
        <w:t>Compliance with LPSC Orders, including the 1983 General Order, Transmission Siting Order, and others.</w:t>
      </w:r>
    </w:p>
    <w:p w14:paraId="79965702" w14:textId="77777777" w:rsidR="000F23DC" w:rsidRPr="000F23DC" w:rsidRDefault="000F23DC" w:rsidP="000F23DC">
      <w:pPr>
        <w:numPr>
          <w:ilvl w:val="0"/>
          <w:numId w:val="6"/>
        </w:numPr>
      </w:pPr>
      <w:r w:rsidRPr="000F23DC">
        <w:t>Requested exemption from competitive procurement requirements (MBM Order) due to the project's urgent timeline and substantial customer contributions.</w:t>
      </w:r>
    </w:p>
    <w:p w14:paraId="1794DF51" w14:textId="77777777" w:rsidR="000F23DC" w:rsidRPr="000F23DC" w:rsidRDefault="000F23DC" w:rsidP="000F23DC">
      <w:pPr>
        <w:rPr>
          <w:b/>
          <w:bCs/>
        </w:rPr>
      </w:pPr>
      <w:r w:rsidRPr="000F23DC">
        <w:rPr>
          <w:b/>
          <w:bCs/>
        </w:rPr>
        <w:t xml:space="preserve">7. </w:t>
      </w:r>
      <w:proofErr w:type="gramStart"/>
      <w:r w:rsidRPr="000F23DC">
        <w:rPr>
          <w:b/>
          <w:bCs/>
        </w:rPr>
        <w:t>Requested Timely Treatment</w:t>
      </w:r>
      <w:proofErr w:type="gramEnd"/>
      <w:r w:rsidRPr="000F23DC">
        <w:rPr>
          <w:b/>
          <w:bCs/>
        </w:rPr>
        <w:t>:</w:t>
      </w:r>
    </w:p>
    <w:p w14:paraId="4547D601" w14:textId="77777777" w:rsidR="000F23DC" w:rsidRPr="000F23DC" w:rsidRDefault="000F23DC" w:rsidP="000F23DC">
      <w:pPr>
        <w:numPr>
          <w:ilvl w:val="0"/>
          <w:numId w:val="7"/>
        </w:numPr>
      </w:pPr>
      <w:r w:rsidRPr="000F23DC">
        <w:t>LPSC decision requested by September 2025 to align with customer timelines, enabling timely project delivery.</w:t>
      </w:r>
    </w:p>
    <w:p w14:paraId="6FE9CB50" w14:textId="77777777" w:rsidR="000F23DC" w:rsidRPr="000F23DC" w:rsidRDefault="000F23DC" w:rsidP="000F23DC">
      <w:pPr>
        <w:rPr>
          <w:b/>
          <w:bCs/>
        </w:rPr>
      </w:pPr>
      <w:r w:rsidRPr="000F23DC">
        <w:rPr>
          <w:b/>
          <w:bCs/>
        </w:rPr>
        <w:t>Supporting Testimonies:</w:t>
      </w:r>
    </w:p>
    <w:p w14:paraId="7729ABED" w14:textId="77777777" w:rsidR="000F23DC" w:rsidRPr="000F23DC" w:rsidRDefault="000F23DC" w:rsidP="000F23DC">
      <w:pPr>
        <w:numPr>
          <w:ilvl w:val="0"/>
          <w:numId w:val="8"/>
        </w:numPr>
      </w:pPr>
      <w:r w:rsidRPr="000F23DC">
        <w:t>Included testimonies from multiple ELL executives and external experts detailing project specifics, cost structures, regulatory compliance, environmental impacts, and customer commitments.</w:t>
      </w:r>
    </w:p>
    <w:p w14:paraId="14B5AAA5" w14:textId="77777777" w:rsidR="000F23DC" w:rsidRPr="000F23DC" w:rsidRDefault="000F23DC" w:rsidP="000F23DC">
      <w:pPr>
        <w:rPr>
          <w:b/>
          <w:bCs/>
        </w:rPr>
      </w:pPr>
      <w:r w:rsidRPr="000F23DC">
        <w:rPr>
          <w:b/>
          <w:bCs/>
        </w:rPr>
        <w:t>Confidentiality:</w:t>
      </w:r>
    </w:p>
    <w:p w14:paraId="1860460C" w14:textId="77777777" w:rsidR="000F23DC" w:rsidRPr="000F23DC" w:rsidRDefault="000F23DC" w:rsidP="000F23DC">
      <w:pPr>
        <w:numPr>
          <w:ilvl w:val="0"/>
          <w:numId w:val="9"/>
        </w:numPr>
      </w:pPr>
      <w:r w:rsidRPr="000F23DC">
        <w:t>Portions of the application contain sensitive customer and commercial information protected by confidentiality provisions.</w:t>
      </w:r>
    </w:p>
    <w:p w14:paraId="406C067D" w14:textId="77777777" w:rsidR="000F23DC" w:rsidRPr="000F23DC" w:rsidRDefault="000F23DC" w:rsidP="000F23DC">
      <w:pPr>
        <w:rPr>
          <w:b/>
          <w:bCs/>
        </w:rPr>
      </w:pPr>
      <w:r w:rsidRPr="000F23DC">
        <w:rPr>
          <w:b/>
          <w:bCs/>
        </w:rPr>
        <w:t>Conclusion:</w:t>
      </w:r>
    </w:p>
    <w:p w14:paraId="0B41B1DF" w14:textId="77777777" w:rsidR="000F23DC" w:rsidRPr="000F23DC" w:rsidRDefault="000F23DC" w:rsidP="000F23DC">
      <w:r w:rsidRPr="000F23DC">
        <w:t>ELL seeks certification and approval from the LPSC for the generation and transmission resources described, emphasizing substantial economic and environmental benefits for Louisiana, strong ratepayer protections, and compliance with regulatory standards.</w:t>
      </w:r>
    </w:p>
    <w:p w14:paraId="32D73A9F"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53D"/>
    <w:multiLevelType w:val="multilevel"/>
    <w:tmpl w:val="F3B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575"/>
    <w:multiLevelType w:val="multilevel"/>
    <w:tmpl w:val="9076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B0D"/>
    <w:multiLevelType w:val="multilevel"/>
    <w:tmpl w:val="3BF0D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5697A"/>
    <w:multiLevelType w:val="multilevel"/>
    <w:tmpl w:val="537EA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40EEB"/>
    <w:multiLevelType w:val="multilevel"/>
    <w:tmpl w:val="F8B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C2D70"/>
    <w:multiLevelType w:val="multilevel"/>
    <w:tmpl w:val="9FA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F05E3"/>
    <w:multiLevelType w:val="multilevel"/>
    <w:tmpl w:val="1BB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85EC4"/>
    <w:multiLevelType w:val="multilevel"/>
    <w:tmpl w:val="A11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25D78"/>
    <w:multiLevelType w:val="multilevel"/>
    <w:tmpl w:val="22A2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071679">
    <w:abstractNumId w:val="2"/>
  </w:num>
  <w:num w:numId="2" w16cid:durableId="1933128704">
    <w:abstractNumId w:val="1"/>
  </w:num>
  <w:num w:numId="3" w16cid:durableId="1081828471">
    <w:abstractNumId w:val="3"/>
  </w:num>
  <w:num w:numId="4" w16cid:durableId="1172142476">
    <w:abstractNumId w:val="8"/>
  </w:num>
  <w:num w:numId="5" w16cid:durableId="348411637">
    <w:abstractNumId w:val="6"/>
  </w:num>
  <w:num w:numId="6" w16cid:durableId="1248273158">
    <w:abstractNumId w:val="4"/>
  </w:num>
  <w:num w:numId="7" w16cid:durableId="94205953">
    <w:abstractNumId w:val="5"/>
  </w:num>
  <w:num w:numId="8" w16cid:durableId="1640959255">
    <w:abstractNumId w:val="0"/>
  </w:num>
  <w:num w:numId="9" w16cid:durableId="1984234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DC"/>
    <w:rsid w:val="000F23DC"/>
    <w:rsid w:val="001E77D2"/>
    <w:rsid w:val="00636502"/>
    <w:rsid w:val="0096775F"/>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5F49A"/>
  <w15:chartTrackingRefBased/>
  <w15:docId w15:val="{FC4730BD-7388-489F-B116-A69D052A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3DC"/>
    <w:rPr>
      <w:rFonts w:eastAsiaTheme="majorEastAsia" w:cstheme="majorBidi"/>
      <w:color w:val="272727" w:themeColor="text1" w:themeTint="D8"/>
    </w:rPr>
  </w:style>
  <w:style w:type="paragraph" w:styleId="Title">
    <w:name w:val="Title"/>
    <w:basedOn w:val="Normal"/>
    <w:next w:val="Normal"/>
    <w:link w:val="TitleChar"/>
    <w:uiPriority w:val="10"/>
    <w:qFormat/>
    <w:rsid w:val="000F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3DC"/>
    <w:pPr>
      <w:spacing w:before="160"/>
      <w:jc w:val="center"/>
    </w:pPr>
    <w:rPr>
      <w:i/>
      <w:iCs/>
      <w:color w:val="404040" w:themeColor="text1" w:themeTint="BF"/>
    </w:rPr>
  </w:style>
  <w:style w:type="character" w:customStyle="1" w:styleId="QuoteChar">
    <w:name w:val="Quote Char"/>
    <w:basedOn w:val="DefaultParagraphFont"/>
    <w:link w:val="Quote"/>
    <w:uiPriority w:val="29"/>
    <w:rsid w:val="000F23DC"/>
    <w:rPr>
      <w:i/>
      <w:iCs/>
      <w:color w:val="404040" w:themeColor="text1" w:themeTint="BF"/>
    </w:rPr>
  </w:style>
  <w:style w:type="paragraph" w:styleId="ListParagraph">
    <w:name w:val="List Paragraph"/>
    <w:basedOn w:val="Normal"/>
    <w:uiPriority w:val="34"/>
    <w:qFormat/>
    <w:rsid w:val="000F23DC"/>
    <w:pPr>
      <w:ind w:left="720"/>
      <w:contextualSpacing/>
    </w:pPr>
  </w:style>
  <w:style w:type="character" w:styleId="IntenseEmphasis">
    <w:name w:val="Intense Emphasis"/>
    <w:basedOn w:val="DefaultParagraphFont"/>
    <w:uiPriority w:val="21"/>
    <w:qFormat/>
    <w:rsid w:val="000F23DC"/>
    <w:rPr>
      <w:i/>
      <w:iCs/>
      <w:color w:val="0F4761" w:themeColor="accent1" w:themeShade="BF"/>
    </w:rPr>
  </w:style>
  <w:style w:type="paragraph" w:styleId="IntenseQuote">
    <w:name w:val="Intense Quote"/>
    <w:basedOn w:val="Normal"/>
    <w:next w:val="Normal"/>
    <w:link w:val="IntenseQuoteChar"/>
    <w:uiPriority w:val="30"/>
    <w:qFormat/>
    <w:rsid w:val="000F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3DC"/>
    <w:rPr>
      <w:i/>
      <w:iCs/>
      <w:color w:val="0F4761" w:themeColor="accent1" w:themeShade="BF"/>
    </w:rPr>
  </w:style>
  <w:style w:type="character" w:styleId="IntenseReference">
    <w:name w:val="Intense Reference"/>
    <w:basedOn w:val="DefaultParagraphFont"/>
    <w:uiPriority w:val="32"/>
    <w:qFormat/>
    <w:rsid w:val="000F2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947">
      <w:bodyDiv w:val="1"/>
      <w:marLeft w:val="0"/>
      <w:marRight w:val="0"/>
      <w:marTop w:val="0"/>
      <w:marBottom w:val="0"/>
      <w:divBdr>
        <w:top w:val="none" w:sz="0" w:space="0" w:color="auto"/>
        <w:left w:val="none" w:sz="0" w:space="0" w:color="auto"/>
        <w:bottom w:val="none" w:sz="0" w:space="0" w:color="auto"/>
        <w:right w:val="none" w:sz="0" w:space="0" w:color="auto"/>
      </w:divBdr>
    </w:div>
    <w:div w:id="17801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3032</Characters>
  <Application>Microsoft Office Word</Application>
  <DocSecurity>0</DocSecurity>
  <Lines>63</Lines>
  <Paragraphs>49</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2025-05-27T23:49:00Z</dcterms:created>
  <dcterms:modified xsi:type="dcterms:W3CDTF">2025-05-27T23:49:00Z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aa70136a-f76f-40ed-ba3c-5732161aea1c</vt:lpwstr>
  </property>
</Properties>
</file>