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41116" w14:textId="77777777" w:rsidR="00D22863" w:rsidRPr="00D22863" w:rsidRDefault="00D22863" w:rsidP="00D22863">
      <w:pPr>
        <w:rPr>
          <w:b/>
          <w:bCs/>
        </w:rPr>
      </w:pPr>
      <w:r w:rsidRPr="00D22863">
        <w:rPr>
          <w:b/>
          <w:bCs/>
        </w:rPr>
        <w:t>Context and Background:</w:t>
      </w:r>
    </w:p>
    <w:p w14:paraId="78D051A1" w14:textId="77777777" w:rsidR="00D22863" w:rsidRPr="00D22863" w:rsidRDefault="00D22863" w:rsidP="00D22863">
      <w:r w:rsidRPr="00D22863">
        <w:t>R. Lane Sisung, on behalf of the Louisiana Public Service Commission (LPSC) Staff, provides cross-answering testimony responding to Entergy Louisiana LLC’s (ELL) application for the construction and operation of generation and transmission resources proposed for a large customer (Laidley) project in North Louisiana.</w:t>
      </w:r>
    </w:p>
    <w:p w14:paraId="6AD8891E" w14:textId="77777777" w:rsidR="00D22863" w:rsidRPr="00D22863" w:rsidRDefault="00D22863" w:rsidP="00D22863">
      <w:pPr>
        <w:rPr>
          <w:b/>
          <w:bCs/>
        </w:rPr>
      </w:pPr>
      <w:r w:rsidRPr="00D22863">
        <w:rPr>
          <w:b/>
          <w:bCs/>
        </w:rPr>
        <w:t>Key Areas Addressed:</w:t>
      </w:r>
    </w:p>
    <w:p w14:paraId="10113904" w14:textId="77777777" w:rsidR="00D22863" w:rsidRPr="00D22863" w:rsidRDefault="00D22863" w:rsidP="00D22863">
      <w:pPr>
        <w:rPr>
          <w:b/>
          <w:bCs/>
        </w:rPr>
      </w:pPr>
      <w:r w:rsidRPr="00D22863">
        <w:rPr>
          <w:b/>
          <w:bCs/>
        </w:rPr>
        <w:t>1. Overview of Application:</w:t>
      </w:r>
    </w:p>
    <w:p w14:paraId="7FC4FE54" w14:textId="77777777" w:rsidR="00D22863" w:rsidRPr="00D22863" w:rsidRDefault="00D22863" w:rsidP="00D22863">
      <w:pPr>
        <w:numPr>
          <w:ilvl w:val="0"/>
          <w:numId w:val="1"/>
        </w:numPr>
      </w:pPr>
      <w:r w:rsidRPr="00D22863">
        <w:t>ELL seeks to build three Combined Cycle Combustion Turbine (CCCT) units, new substations, and significant transmission facilities (Mount Olive-Sarepta line, Sterlington upgrades) to serve a large hyperscale data center (Laidley).</w:t>
      </w:r>
    </w:p>
    <w:p w14:paraId="435DDF57" w14:textId="77777777" w:rsidR="00D22863" w:rsidRPr="00D22863" w:rsidRDefault="00D22863" w:rsidP="00D22863">
      <w:pPr>
        <w:numPr>
          <w:ilvl w:val="0"/>
          <w:numId w:val="1"/>
        </w:numPr>
      </w:pPr>
      <w:r w:rsidRPr="00D22863">
        <w:t>Application includes the Electric Service Agreement (ESA), a Corporate Sustainability Rider (CSR), and Contributions in Aid of Construction (CIACs) to mitigate ratepayer risks.</w:t>
      </w:r>
    </w:p>
    <w:p w14:paraId="034DEC25" w14:textId="77777777" w:rsidR="00D22863" w:rsidRPr="00D22863" w:rsidRDefault="00D22863" w:rsidP="00D22863">
      <w:pPr>
        <w:rPr>
          <w:b/>
          <w:bCs/>
        </w:rPr>
      </w:pPr>
      <w:r w:rsidRPr="00D22863">
        <w:rPr>
          <w:b/>
          <w:bCs/>
        </w:rPr>
        <w:t>2. Potential ESA Amendment:</w:t>
      </w:r>
    </w:p>
    <w:p w14:paraId="5F68EB41" w14:textId="77777777" w:rsidR="00D22863" w:rsidRPr="00D22863" w:rsidRDefault="00D22863" w:rsidP="00D22863">
      <w:pPr>
        <w:numPr>
          <w:ilvl w:val="0"/>
          <w:numId w:val="2"/>
        </w:numPr>
      </w:pPr>
      <w:r w:rsidRPr="00D22863">
        <w:t>Concern raised about Laidley's potential load increase, requiring significant additional transmission infrastructure.</w:t>
      </w:r>
    </w:p>
    <w:p w14:paraId="57161613" w14:textId="77777777" w:rsidR="00D22863" w:rsidRPr="00D22863" w:rsidRDefault="00D22863" w:rsidP="00D22863">
      <w:pPr>
        <w:numPr>
          <w:ilvl w:val="0"/>
          <w:numId w:val="2"/>
        </w:numPr>
      </w:pPr>
      <w:r w:rsidRPr="00D22863">
        <w:t xml:space="preserve">Staff </w:t>
      </w:r>
      <w:proofErr w:type="gramStart"/>
      <w:r w:rsidRPr="00D22863">
        <w:t>recommends</w:t>
      </w:r>
      <w:proofErr w:type="gramEnd"/>
      <w:r w:rsidRPr="00D22863">
        <w:t xml:space="preserve"> any amendments to ESA require separate Commission approval to ensure the public interest is maintained.</w:t>
      </w:r>
    </w:p>
    <w:p w14:paraId="0559B23E" w14:textId="77777777" w:rsidR="00D22863" w:rsidRPr="00D22863" w:rsidRDefault="00D22863" w:rsidP="00D22863">
      <w:pPr>
        <w:rPr>
          <w:b/>
          <w:bCs/>
        </w:rPr>
      </w:pPr>
      <w:r w:rsidRPr="00D22863">
        <w:rPr>
          <w:b/>
          <w:bCs/>
        </w:rPr>
        <w:t>3. ESA Non-Renewal/Termination Risks:</w:t>
      </w:r>
    </w:p>
    <w:p w14:paraId="5D17B81B" w14:textId="77777777" w:rsidR="00D22863" w:rsidRPr="00D22863" w:rsidRDefault="00D22863" w:rsidP="00D22863">
      <w:pPr>
        <w:numPr>
          <w:ilvl w:val="0"/>
          <w:numId w:val="3"/>
        </w:numPr>
      </w:pPr>
      <w:r w:rsidRPr="00D22863">
        <w:t>Significant concerns regarding inadequate notice periods (only 12-month notice for ESA non-renewal) potentially leaving ELL with stranded assets and costs.</w:t>
      </w:r>
    </w:p>
    <w:p w14:paraId="71FEDDDD" w14:textId="77777777" w:rsidR="00D22863" w:rsidRPr="00D22863" w:rsidRDefault="00D22863" w:rsidP="00D22863">
      <w:pPr>
        <w:numPr>
          <w:ilvl w:val="0"/>
          <w:numId w:val="3"/>
        </w:numPr>
      </w:pPr>
      <w:r w:rsidRPr="00D22863">
        <w:t xml:space="preserve">Staff </w:t>
      </w:r>
      <w:proofErr w:type="gramStart"/>
      <w:r w:rsidRPr="00D22863">
        <w:t>recommends</w:t>
      </w:r>
      <w:proofErr w:type="gramEnd"/>
      <w:r w:rsidRPr="00D22863">
        <w:t xml:space="preserve"> that ELL confirm Laidley’s renewal intentions before committing to additional generation investments.</w:t>
      </w:r>
    </w:p>
    <w:p w14:paraId="5992635D" w14:textId="77777777" w:rsidR="00D22863" w:rsidRPr="00D22863" w:rsidRDefault="00D22863" w:rsidP="00D22863">
      <w:pPr>
        <w:numPr>
          <w:ilvl w:val="0"/>
          <w:numId w:val="3"/>
        </w:numPr>
      </w:pPr>
      <w:r w:rsidRPr="00D22863">
        <w:t>Additional recommendations provided to ensure ratepayer indemnification from potential early termination impacts and pre-effective date expenditures.</w:t>
      </w:r>
    </w:p>
    <w:p w14:paraId="5FFADF31" w14:textId="77777777" w:rsidR="00D22863" w:rsidRPr="00D22863" w:rsidRDefault="00D22863" w:rsidP="00D22863">
      <w:pPr>
        <w:rPr>
          <w:b/>
          <w:bCs/>
        </w:rPr>
      </w:pPr>
      <w:r w:rsidRPr="00D22863">
        <w:rPr>
          <w:b/>
          <w:bCs/>
        </w:rPr>
        <w:t>4. Concerns with Parent Guaranty:</w:t>
      </w:r>
    </w:p>
    <w:p w14:paraId="36515708" w14:textId="77777777" w:rsidR="00D22863" w:rsidRPr="00D22863" w:rsidRDefault="00D22863" w:rsidP="00D22863">
      <w:pPr>
        <w:numPr>
          <w:ilvl w:val="0"/>
          <w:numId w:val="4"/>
        </w:numPr>
      </w:pPr>
      <w:r w:rsidRPr="00D22863">
        <w:t xml:space="preserve">Questions </w:t>
      </w:r>
      <w:proofErr w:type="gramStart"/>
      <w:r w:rsidRPr="00D22863">
        <w:t>raised</w:t>
      </w:r>
      <w:proofErr w:type="gramEnd"/>
      <w:r w:rsidRPr="00D22863">
        <w:t xml:space="preserve"> about the enforceability, adequacy, and clarity of Meta’s parent guaranty.</w:t>
      </w:r>
    </w:p>
    <w:p w14:paraId="6984ADE3" w14:textId="77777777" w:rsidR="00D22863" w:rsidRPr="00D22863" w:rsidRDefault="00D22863" w:rsidP="00D22863">
      <w:pPr>
        <w:numPr>
          <w:ilvl w:val="0"/>
          <w:numId w:val="4"/>
        </w:numPr>
      </w:pPr>
      <w:r w:rsidRPr="00D22863">
        <w:t xml:space="preserve">Staff </w:t>
      </w:r>
      <w:proofErr w:type="gramStart"/>
      <w:r w:rsidRPr="00D22863">
        <w:t>proposes</w:t>
      </w:r>
      <w:proofErr w:type="gramEnd"/>
      <w:r w:rsidRPr="00D22863">
        <w:t xml:space="preserve"> legal verification under New York law and requires ELL to bear risks if guaranty provisions are inadequate or unenforceable.</w:t>
      </w:r>
    </w:p>
    <w:p w14:paraId="220FD175" w14:textId="77777777" w:rsidR="00D22863" w:rsidRPr="00D22863" w:rsidRDefault="00D22863" w:rsidP="00D22863">
      <w:pPr>
        <w:rPr>
          <w:b/>
          <w:bCs/>
        </w:rPr>
      </w:pPr>
      <w:r w:rsidRPr="00D22863">
        <w:rPr>
          <w:b/>
          <w:bCs/>
        </w:rPr>
        <w:t>5. Exemption from Market-Based Mechanism (MBM) Order:</w:t>
      </w:r>
    </w:p>
    <w:p w14:paraId="53E32FDF" w14:textId="77777777" w:rsidR="00D22863" w:rsidRPr="00D22863" w:rsidRDefault="00D22863" w:rsidP="00D22863">
      <w:pPr>
        <w:numPr>
          <w:ilvl w:val="0"/>
          <w:numId w:val="5"/>
        </w:numPr>
      </w:pPr>
      <w:r w:rsidRPr="00D22863">
        <w:t>Staff shares concerns raised by intervenors about ELL’s non-compliance with MBM competitive bidding requirements.</w:t>
      </w:r>
    </w:p>
    <w:p w14:paraId="4DB06AF5" w14:textId="77777777" w:rsidR="00D22863" w:rsidRPr="00D22863" w:rsidRDefault="00D22863" w:rsidP="00D22863">
      <w:pPr>
        <w:numPr>
          <w:ilvl w:val="0"/>
          <w:numId w:val="5"/>
        </w:numPr>
      </w:pPr>
      <w:r w:rsidRPr="00D22863">
        <w:t xml:space="preserve">Supports cautious approval due to urgency and significant customer contributions, conditioned on thorough Staff monitoring and subsequent </w:t>
      </w:r>
      <w:proofErr w:type="gramStart"/>
      <w:r w:rsidRPr="00D22863">
        <w:t>prudence</w:t>
      </w:r>
      <w:proofErr w:type="gramEnd"/>
      <w:r w:rsidRPr="00D22863">
        <w:t xml:space="preserve"> reviews.</w:t>
      </w:r>
    </w:p>
    <w:p w14:paraId="040416E5" w14:textId="77777777" w:rsidR="00D22863" w:rsidRPr="00D22863" w:rsidRDefault="00D22863" w:rsidP="00D22863">
      <w:pPr>
        <w:rPr>
          <w:b/>
          <w:bCs/>
        </w:rPr>
      </w:pPr>
      <w:r w:rsidRPr="00D22863">
        <w:rPr>
          <w:b/>
          <w:bCs/>
        </w:rPr>
        <w:t>6. Minimum Bill Requirements:</w:t>
      </w:r>
    </w:p>
    <w:p w14:paraId="2BEEF329" w14:textId="77777777" w:rsidR="00D22863" w:rsidRPr="00D22863" w:rsidRDefault="00D22863" w:rsidP="00D22863">
      <w:pPr>
        <w:numPr>
          <w:ilvl w:val="0"/>
          <w:numId w:val="6"/>
        </w:numPr>
      </w:pPr>
      <w:proofErr w:type="gramStart"/>
      <w:r w:rsidRPr="00D22863">
        <w:lastRenderedPageBreak/>
        <w:t>Agreement</w:t>
      </w:r>
      <w:proofErr w:type="gramEnd"/>
      <w:r w:rsidRPr="00D22863">
        <w:t xml:space="preserve"> on covering critical infrastructure costs through minimum bills but rejection of the requirement that every incremental cost be automatically included.</w:t>
      </w:r>
    </w:p>
    <w:p w14:paraId="08F32691" w14:textId="77777777" w:rsidR="00D22863" w:rsidRPr="00D22863" w:rsidRDefault="00D22863" w:rsidP="00D22863">
      <w:pPr>
        <w:numPr>
          <w:ilvl w:val="0"/>
          <w:numId w:val="6"/>
        </w:numPr>
      </w:pPr>
      <w:r w:rsidRPr="00D22863">
        <w:t>Economic analysis performed to justify the approach but acknowledges uncertainties around future project valuations and associated risks.</w:t>
      </w:r>
    </w:p>
    <w:p w14:paraId="731B44C4" w14:textId="77777777" w:rsidR="00D22863" w:rsidRPr="00D22863" w:rsidRDefault="00D22863" w:rsidP="00D22863">
      <w:pPr>
        <w:rPr>
          <w:b/>
          <w:bCs/>
        </w:rPr>
      </w:pPr>
      <w:r w:rsidRPr="00D22863">
        <w:rPr>
          <w:b/>
          <w:bCs/>
        </w:rPr>
        <w:t>7. Economic Analysis and Ratepayer Risk:</w:t>
      </w:r>
    </w:p>
    <w:p w14:paraId="782A06F7" w14:textId="77777777" w:rsidR="00D22863" w:rsidRPr="00D22863" w:rsidRDefault="00D22863" w:rsidP="00D22863">
      <w:pPr>
        <w:numPr>
          <w:ilvl w:val="0"/>
          <w:numId w:val="7"/>
        </w:numPr>
      </w:pPr>
      <w:r w:rsidRPr="00D22863">
        <w:t xml:space="preserve">Staff </w:t>
      </w:r>
      <w:proofErr w:type="gramStart"/>
      <w:r w:rsidRPr="00D22863">
        <w:t>acknowledges</w:t>
      </w:r>
      <w:proofErr w:type="gramEnd"/>
      <w:r w:rsidRPr="00D22863">
        <w:t xml:space="preserve"> uncertainty in projected economic benefits, highlighting potential risks if Laidley terminates the ESA prematurely or if projected assumptions differ significantly from reality.</w:t>
      </w:r>
    </w:p>
    <w:p w14:paraId="7F5A23FE" w14:textId="77777777" w:rsidR="00D22863" w:rsidRPr="00D22863" w:rsidRDefault="00D22863" w:rsidP="00D22863">
      <w:pPr>
        <w:numPr>
          <w:ilvl w:val="0"/>
          <w:numId w:val="7"/>
        </w:numPr>
      </w:pPr>
      <w:r w:rsidRPr="00D22863">
        <w:t>Recommends revenue deferral and sharing mechanisms to mitigate risk.</w:t>
      </w:r>
    </w:p>
    <w:p w14:paraId="4023C7A0" w14:textId="77777777" w:rsidR="00D22863" w:rsidRPr="00D22863" w:rsidRDefault="00D22863" w:rsidP="00D22863">
      <w:pPr>
        <w:rPr>
          <w:b/>
          <w:bCs/>
        </w:rPr>
      </w:pPr>
      <w:r w:rsidRPr="00D22863">
        <w:rPr>
          <w:b/>
          <w:bCs/>
        </w:rPr>
        <w:t>8. Potential Unidentified Costs:</w:t>
      </w:r>
    </w:p>
    <w:p w14:paraId="37AE24CF" w14:textId="77777777" w:rsidR="00D22863" w:rsidRPr="00D22863" w:rsidRDefault="00D22863" w:rsidP="00D22863">
      <w:pPr>
        <w:numPr>
          <w:ilvl w:val="0"/>
          <w:numId w:val="8"/>
        </w:numPr>
      </w:pPr>
      <w:r w:rsidRPr="00D22863">
        <w:rPr>
          <w:b/>
          <w:bCs/>
        </w:rPr>
        <w:t>Transmission Risks:</w:t>
      </w:r>
      <w:r w:rsidRPr="00D22863">
        <w:t xml:space="preserve"> Concerns about overlooked costs from potential thermal, voltage, transient stability, and load dynamics. Staff proposes expedited risk analysis and clear cost allocation mechanisms.</w:t>
      </w:r>
    </w:p>
    <w:p w14:paraId="2EC6F151" w14:textId="77777777" w:rsidR="00D22863" w:rsidRPr="00D22863" w:rsidRDefault="00D22863" w:rsidP="00D22863">
      <w:pPr>
        <w:numPr>
          <w:ilvl w:val="0"/>
          <w:numId w:val="8"/>
        </w:numPr>
      </w:pPr>
      <w:r w:rsidRPr="00D22863">
        <w:rPr>
          <w:b/>
          <w:bCs/>
        </w:rPr>
        <w:t>Generation Operation Risks:</w:t>
      </w:r>
      <w:r w:rsidRPr="00D22863">
        <w:t xml:space="preserve"> Highlights potential Fuel Adjustment Clause impacts and energy market exposure during ramp periods; recommends further analysis by ELL.</w:t>
      </w:r>
    </w:p>
    <w:p w14:paraId="21247B48" w14:textId="77777777" w:rsidR="00D22863" w:rsidRPr="00D22863" w:rsidRDefault="00D22863" w:rsidP="00D22863">
      <w:pPr>
        <w:numPr>
          <w:ilvl w:val="0"/>
          <w:numId w:val="8"/>
        </w:numPr>
      </w:pPr>
      <w:r w:rsidRPr="00D22863">
        <w:rPr>
          <w:b/>
          <w:bCs/>
        </w:rPr>
        <w:t>Future Transmission Needs:</w:t>
      </w:r>
      <w:r w:rsidRPr="00D22863">
        <w:t xml:space="preserve"> Rejects speculative transmission upgrade concerns post-customer discontinuation, deeming them overly hypothetical and uncertain.</w:t>
      </w:r>
    </w:p>
    <w:p w14:paraId="0F9A3E3E" w14:textId="77777777" w:rsidR="00D22863" w:rsidRPr="00D22863" w:rsidRDefault="00D22863" w:rsidP="00D22863">
      <w:pPr>
        <w:rPr>
          <w:b/>
          <w:bCs/>
        </w:rPr>
      </w:pPr>
      <w:r w:rsidRPr="00D22863">
        <w:rPr>
          <w:b/>
          <w:bCs/>
        </w:rPr>
        <w:t>9. Customer Load Flexibility:</w:t>
      </w:r>
    </w:p>
    <w:p w14:paraId="2B529622" w14:textId="77777777" w:rsidR="00D22863" w:rsidRPr="00D22863" w:rsidRDefault="00D22863" w:rsidP="00D22863">
      <w:pPr>
        <w:numPr>
          <w:ilvl w:val="0"/>
          <w:numId w:val="9"/>
        </w:numPr>
      </w:pPr>
      <w:r w:rsidRPr="00D22863">
        <w:t xml:space="preserve">Staff </w:t>
      </w:r>
      <w:proofErr w:type="gramStart"/>
      <w:r w:rsidRPr="00D22863">
        <w:t>highlights</w:t>
      </w:r>
      <w:proofErr w:type="gramEnd"/>
      <w:r w:rsidRPr="00D22863">
        <w:t xml:space="preserve"> concerns about reliability issues from unplanned load spikes during system emergencies. </w:t>
      </w:r>
      <w:proofErr w:type="gramStart"/>
      <w:r w:rsidRPr="00D22863">
        <w:t>Proposes</w:t>
      </w:r>
      <w:proofErr w:type="gramEnd"/>
      <w:r w:rsidRPr="00D22863">
        <w:t xml:space="preserve"> agreements between ELL and customer on emergency load reduction measures.</w:t>
      </w:r>
    </w:p>
    <w:p w14:paraId="1A566661" w14:textId="77777777" w:rsidR="00D22863" w:rsidRPr="00D22863" w:rsidRDefault="00D22863" w:rsidP="00D22863">
      <w:pPr>
        <w:rPr>
          <w:b/>
          <w:bCs/>
        </w:rPr>
      </w:pPr>
      <w:r w:rsidRPr="00D22863">
        <w:rPr>
          <w:b/>
          <w:bCs/>
        </w:rPr>
        <w:t>10. Corporate Sustainability Rider (CSR):</w:t>
      </w:r>
    </w:p>
    <w:p w14:paraId="7FA24A69" w14:textId="77777777" w:rsidR="00D22863" w:rsidRPr="00D22863" w:rsidRDefault="00D22863" w:rsidP="00D22863">
      <w:pPr>
        <w:numPr>
          <w:ilvl w:val="0"/>
          <w:numId w:val="10"/>
        </w:numPr>
      </w:pPr>
      <w:r w:rsidRPr="00D22863">
        <w:t xml:space="preserve">CSR identified as potentially discriminatory under LPSC tariff rules. Staff </w:t>
      </w:r>
      <w:proofErr w:type="gramStart"/>
      <w:r w:rsidRPr="00D22863">
        <w:t>recommends</w:t>
      </w:r>
      <w:proofErr w:type="gramEnd"/>
      <w:r w:rsidRPr="00D22863">
        <w:t xml:space="preserve"> rejecting CSR as presented and requiring ELL to re-propose a compliant renewable access mechanism.</w:t>
      </w:r>
    </w:p>
    <w:p w14:paraId="100DA0AC" w14:textId="77777777" w:rsidR="00D22863" w:rsidRPr="00D22863" w:rsidRDefault="00D22863" w:rsidP="00D22863">
      <w:pPr>
        <w:numPr>
          <w:ilvl w:val="0"/>
          <w:numId w:val="10"/>
        </w:numPr>
      </w:pPr>
      <w:r w:rsidRPr="00D22863">
        <w:t>Criticizes ambiguous commitments around renewable energy sourcing and timing. Calls for clearly defined procurement strategies and timelines.</w:t>
      </w:r>
    </w:p>
    <w:p w14:paraId="75D9AA24" w14:textId="77777777" w:rsidR="00D22863" w:rsidRPr="00D22863" w:rsidRDefault="00D22863" w:rsidP="00D22863">
      <w:pPr>
        <w:numPr>
          <w:ilvl w:val="0"/>
          <w:numId w:val="10"/>
        </w:numPr>
      </w:pPr>
      <w:r w:rsidRPr="00D22863">
        <w:t>CCS (carbon capture) proposal at Lake Charles Power Station considered economically unviable and recommended for rejection.</w:t>
      </w:r>
    </w:p>
    <w:p w14:paraId="3A61281B" w14:textId="77777777" w:rsidR="00D22863" w:rsidRPr="00D22863" w:rsidRDefault="00D22863" w:rsidP="00D22863">
      <w:pPr>
        <w:rPr>
          <w:b/>
          <w:bCs/>
        </w:rPr>
      </w:pPr>
      <w:r w:rsidRPr="00D22863">
        <w:rPr>
          <w:b/>
          <w:bCs/>
        </w:rPr>
        <w:t>11. Recommended Conditions (Selected):</w:t>
      </w:r>
    </w:p>
    <w:p w14:paraId="3C4C658E" w14:textId="77777777" w:rsidR="00D22863" w:rsidRPr="00D22863" w:rsidRDefault="00D22863" w:rsidP="00D22863">
      <w:pPr>
        <w:numPr>
          <w:ilvl w:val="0"/>
          <w:numId w:val="11"/>
        </w:numPr>
      </w:pPr>
      <w:r w:rsidRPr="00D22863">
        <w:t>Amendments to ESA must require separate approval.</w:t>
      </w:r>
    </w:p>
    <w:p w14:paraId="59E0D8F1" w14:textId="77777777" w:rsidR="00D22863" w:rsidRPr="00D22863" w:rsidRDefault="00D22863" w:rsidP="00D22863">
      <w:pPr>
        <w:numPr>
          <w:ilvl w:val="0"/>
          <w:numId w:val="11"/>
        </w:numPr>
      </w:pPr>
      <w:r w:rsidRPr="00D22863">
        <w:t>Laidley’s renewal status must be confirmed before new capacity commitments.</w:t>
      </w:r>
    </w:p>
    <w:p w14:paraId="21EF8605" w14:textId="77777777" w:rsidR="00D22863" w:rsidRPr="00D22863" w:rsidRDefault="00D22863" w:rsidP="00D22863">
      <w:pPr>
        <w:numPr>
          <w:ilvl w:val="0"/>
          <w:numId w:val="11"/>
        </w:numPr>
      </w:pPr>
      <w:r w:rsidRPr="00D22863">
        <w:t>Parent Guaranty must be legally verified under New York law.</w:t>
      </w:r>
    </w:p>
    <w:p w14:paraId="7CF539F1" w14:textId="77777777" w:rsidR="00D22863" w:rsidRPr="00D22863" w:rsidRDefault="00D22863" w:rsidP="00D22863">
      <w:pPr>
        <w:numPr>
          <w:ilvl w:val="0"/>
          <w:numId w:val="11"/>
        </w:numPr>
      </w:pPr>
      <w:r w:rsidRPr="00D22863">
        <w:lastRenderedPageBreak/>
        <w:t xml:space="preserve">Transmission and reliability risks must be explicitly </w:t>
      </w:r>
      <w:proofErr w:type="gramStart"/>
      <w:r w:rsidRPr="00D22863">
        <w:t>addressed, and</w:t>
      </w:r>
      <w:proofErr w:type="gramEnd"/>
      <w:r w:rsidRPr="00D22863">
        <w:t xml:space="preserve"> identified mitigation costs clearly allocated to the customer.</w:t>
      </w:r>
    </w:p>
    <w:p w14:paraId="66BCC15E" w14:textId="77777777" w:rsidR="00D22863" w:rsidRPr="00D22863" w:rsidRDefault="00D22863" w:rsidP="00D22863">
      <w:pPr>
        <w:numPr>
          <w:ilvl w:val="0"/>
          <w:numId w:val="11"/>
        </w:numPr>
      </w:pPr>
      <w:r w:rsidRPr="00D22863">
        <w:t>Clearly defined load reduction measures must be developed for system reliability protection.</w:t>
      </w:r>
    </w:p>
    <w:p w14:paraId="725325DC" w14:textId="77777777" w:rsidR="00D22863" w:rsidRPr="00D22863" w:rsidRDefault="00D22863" w:rsidP="00D22863">
      <w:pPr>
        <w:numPr>
          <w:ilvl w:val="0"/>
          <w:numId w:val="11"/>
        </w:numPr>
      </w:pPr>
      <w:r w:rsidRPr="00D22863">
        <w:t>CSR must be reconsidered to ensure compliance with tariff rules and non-discriminatory practices.</w:t>
      </w:r>
    </w:p>
    <w:p w14:paraId="7AE06CA4" w14:textId="77777777" w:rsidR="00D22863" w:rsidRPr="00D22863" w:rsidRDefault="00D22863" w:rsidP="00D22863">
      <w:pPr>
        <w:rPr>
          <w:b/>
          <w:bCs/>
        </w:rPr>
      </w:pPr>
      <w:r w:rsidRPr="00D22863">
        <w:rPr>
          <w:b/>
          <w:bCs/>
        </w:rPr>
        <w:t>Conclusion:</w:t>
      </w:r>
    </w:p>
    <w:p w14:paraId="0EB4DC5F" w14:textId="77777777" w:rsidR="00D22863" w:rsidRPr="00D22863" w:rsidRDefault="00D22863" w:rsidP="00D22863">
      <w:r w:rsidRPr="00D22863">
        <w:t xml:space="preserve">Sisung emphasizes cautious approval contingent upon adopting robust Staff recommendations to mitigate substantial financial and operational risks to existing ratepayers, ensuring adequate </w:t>
      </w:r>
      <w:proofErr w:type="gramStart"/>
      <w:r w:rsidRPr="00D22863">
        <w:t>protections</w:t>
      </w:r>
      <w:proofErr w:type="gramEnd"/>
      <w:r w:rsidRPr="00D22863">
        <w:t>, clarity, and regulatory compliance.</w:t>
      </w:r>
    </w:p>
    <w:p w14:paraId="4526A461" w14:textId="77777777" w:rsidR="001E77D2" w:rsidRDefault="001E77D2"/>
    <w:sectPr w:rsidR="001E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4794"/>
    <w:multiLevelType w:val="multilevel"/>
    <w:tmpl w:val="8AE0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26608"/>
    <w:multiLevelType w:val="multilevel"/>
    <w:tmpl w:val="F9C8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494F"/>
    <w:multiLevelType w:val="multilevel"/>
    <w:tmpl w:val="4A12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21C32"/>
    <w:multiLevelType w:val="multilevel"/>
    <w:tmpl w:val="CCC8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54253"/>
    <w:multiLevelType w:val="multilevel"/>
    <w:tmpl w:val="5F70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86ADB"/>
    <w:multiLevelType w:val="multilevel"/>
    <w:tmpl w:val="2F5C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D3ECB"/>
    <w:multiLevelType w:val="multilevel"/>
    <w:tmpl w:val="495C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201A8"/>
    <w:multiLevelType w:val="multilevel"/>
    <w:tmpl w:val="543E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D7626"/>
    <w:multiLevelType w:val="multilevel"/>
    <w:tmpl w:val="ACB8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C053B"/>
    <w:multiLevelType w:val="multilevel"/>
    <w:tmpl w:val="8A5A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654ADC"/>
    <w:multiLevelType w:val="multilevel"/>
    <w:tmpl w:val="26E8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113747">
    <w:abstractNumId w:val="5"/>
  </w:num>
  <w:num w:numId="2" w16cid:durableId="1232885819">
    <w:abstractNumId w:val="1"/>
  </w:num>
  <w:num w:numId="3" w16cid:durableId="1745489338">
    <w:abstractNumId w:val="2"/>
  </w:num>
  <w:num w:numId="4" w16cid:durableId="1949661179">
    <w:abstractNumId w:val="8"/>
  </w:num>
  <w:num w:numId="5" w16cid:durableId="86003684">
    <w:abstractNumId w:val="7"/>
  </w:num>
  <w:num w:numId="6" w16cid:durableId="1810249414">
    <w:abstractNumId w:val="6"/>
  </w:num>
  <w:num w:numId="7" w16cid:durableId="2049840411">
    <w:abstractNumId w:val="0"/>
  </w:num>
  <w:num w:numId="8" w16cid:durableId="1322660809">
    <w:abstractNumId w:val="9"/>
  </w:num>
  <w:num w:numId="9" w16cid:durableId="592787970">
    <w:abstractNumId w:val="10"/>
  </w:num>
  <w:num w:numId="10" w16cid:durableId="1774740070">
    <w:abstractNumId w:val="4"/>
  </w:num>
  <w:num w:numId="11" w16cid:durableId="1747145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63"/>
    <w:rsid w:val="001E77D2"/>
    <w:rsid w:val="00636502"/>
    <w:rsid w:val="0096775F"/>
    <w:rsid w:val="00D22863"/>
    <w:rsid w:val="00DC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FBF6B"/>
  <w15:chartTrackingRefBased/>
  <w15:docId w15:val="{16F665B5-B5C6-4869-B444-B00F1638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4238</Characters>
  <Application>Microsoft Office Word</Application>
  <DocSecurity>0</DocSecurity>
  <Lines>77</Lines>
  <Paragraphs>44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Gharaibeh</dc:creator>
  <cp:keywords/>
  <dc:description/>
  <cp:lastModifiedBy>Mohammad Gharaibeh</cp:lastModifiedBy>
  <cp:revision>1</cp:revision>
  <dcterms:created xsi:type="dcterms:W3CDTF">2025-05-27T23:49:00Z</dcterms:created>
  <dcterms:modified xsi:type="dcterms:W3CDTF">2025-05-27T23:50:00Z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06ce19d2-5476-4553-86c4-febffcdecdb1</vt:lpwstr>
  </property>
</Properties>
</file>