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9EF3B" w14:textId="77777777" w:rsidR="005703D3" w:rsidRPr="005703D3" w:rsidRDefault="005703D3" w:rsidP="005703D3">
      <w:pPr>
        <w:rPr>
          <w:b/>
          <w:bCs/>
        </w:rPr>
      </w:pPr>
      <w:r w:rsidRPr="005703D3">
        <w:rPr>
          <w:b/>
          <w:bCs/>
        </w:rPr>
        <w:t>Context and Background:</w:t>
      </w:r>
    </w:p>
    <w:p w14:paraId="0C9B603C" w14:textId="77777777" w:rsidR="005703D3" w:rsidRPr="005703D3" w:rsidRDefault="005703D3" w:rsidP="005703D3">
      <w:r w:rsidRPr="005703D3">
        <w:t xml:space="preserve">Laura K. Beauchamp, Director of Resource Planning and Market Operations for Entergy </w:t>
      </w:r>
      <w:proofErr w:type="gramStart"/>
      <w:r w:rsidRPr="005703D3">
        <w:t>Louisiana,</w:t>
      </w:r>
      <w:proofErr w:type="gramEnd"/>
      <w:r w:rsidRPr="005703D3">
        <w:t xml:space="preserve"> LLC, provides supplemental direct testimony updating details on the location of a third Combined Cycle Combustion Turbine (CCCT) generation unit, and ongoing contractual negotiations with the customer (Laidley, LLC).</w:t>
      </w:r>
    </w:p>
    <w:p w14:paraId="3FC7A14F" w14:textId="77777777" w:rsidR="005703D3" w:rsidRPr="005703D3" w:rsidRDefault="005703D3" w:rsidP="005703D3">
      <w:pPr>
        <w:rPr>
          <w:b/>
          <w:bCs/>
        </w:rPr>
      </w:pPr>
      <w:r w:rsidRPr="005703D3">
        <w:rPr>
          <w:b/>
          <w:bCs/>
        </w:rPr>
        <w:t>Key Updates Provided:</w:t>
      </w:r>
    </w:p>
    <w:p w14:paraId="6884206C" w14:textId="77777777" w:rsidR="005703D3" w:rsidRPr="005703D3" w:rsidRDefault="005703D3" w:rsidP="005703D3">
      <w:pPr>
        <w:rPr>
          <w:b/>
          <w:bCs/>
        </w:rPr>
      </w:pPr>
      <w:r w:rsidRPr="005703D3">
        <w:rPr>
          <w:b/>
          <w:bCs/>
        </w:rPr>
        <w:t>1. Location of the Third CCCT Generation Unit:</w:t>
      </w:r>
    </w:p>
    <w:p w14:paraId="2FDCCF70" w14:textId="77777777" w:rsidR="005703D3" w:rsidRPr="005703D3" w:rsidRDefault="005703D3" w:rsidP="005703D3">
      <w:pPr>
        <w:numPr>
          <w:ilvl w:val="0"/>
          <w:numId w:val="1"/>
        </w:numPr>
      </w:pPr>
      <w:r w:rsidRPr="005703D3">
        <w:t xml:space="preserve">The previously unspecified third CCCT, planned within the Southeast Louisiana Planning Region (SELPA), will be specifically located at Entergy Louisiana's existing </w:t>
      </w:r>
      <w:r w:rsidRPr="005703D3">
        <w:rPr>
          <w:b/>
          <w:bCs/>
        </w:rPr>
        <w:t xml:space="preserve">Waterford site in </w:t>
      </w:r>
      <w:proofErr w:type="spellStart"/>
      <w:r w:rsidRPr="005703D3">
        <w:rPr>
          <w:b/>
          <w:bCs/>
        </w:rPr>
        <w:t>Killona</w:t>
      </w:r>
      <w:proofErr w:type="spellEnd"/>
      <w:r w:rsidRPr="005703D3">
        <w:rPr>
          <w:b/>
          <w:bCs/>
        </w:rPr>
        <w:t>, Louisiana</w:t>
      </w:r>
      <w:r w:rsidRPr="005703D3">
        <w:t>.</w:t>
      </w:r>
    </w:p>
    <w:p w14:paraId="450ECD5C" w14:textId="77777777" w:rsidR="005703D3" w:rsidRPr="005703D3" w:rsidRDefault="005703D3" w:rsidP="005703D3">
      <w:pPr>
        <w:numPr>
          <w:ilvl w:val="0"/>
          <w:numId w:val="1"/>
        </w:numPr>
      </w:pPr>
      <w:r w:rsidRPr="005703D3">
        <w:t>This site already hosts generation units Waterford 1, 2, 3, and 4.</w:t>
      </w:r>
    </w:p>
    <w:p w14:paraId="63E91BCF" w14:textId="77777777" w:rsidR="005703D3" w:rsidRPr="005703D3" w:rsidRDefault="005703D3" w:rsidP="005703D3">
      <w:pPr>
        <w:rPr>
          <w:b/>
          <w:bCs/>
        </w:rPr>
      </w:pPr>
      <w:r w:rsidRPr="005703D3">
        <w:rPr>
          <w:b/>
          <w:bCs/>
        </w:rPr>
        <w:t>2. Reasons for Selecting Waterford Site:</w:t>
      </w:r>
    </w:p>
    <w:p w14:paraId="00DCC8CB" w14:textId="77777777" w:rsidR="005703D3" w:rsidRPr="005703D3" w:rsidRDefault="005703D3" w:rsidP="005703D3">
      <w:pPr>
        <w:numPr>
          <w:ilvl w:val="0"/>
          <w:numId w:val="2"/>
        </w:numPr>
      </w:pPr>
      <w:r w:rsidRPr="005703D3">
        <w:t>Significant cost and logistical advantages were cited:</w:t>
      </w:r>
    </w:p>
    <w:p w14:paraId="310FB923" w14:textId="77777777" w:rsidR="005703D3" w:rsidRPr="005703D3" w:rsidRDefault="005703D3" w:rsidP="005703D3">
      <w:pPr>
        <w:numPr>
          <w:ilvl w:val="1"/>
          <w:numId w:val="2"/>
        </w:numPr>
      </w:pPr>
      <w:r w:rsidRPr="005703D3">
        <w:rPr>
          <w:b/>
          <w:bCs/>
        </w:rPr>
        <w:t>Land ownership by ELL</w:t>
      </w:r>
      <w:r w:rsidRPr="005703D3">
        <w:t xml:space="preserve"> at Waterford eliminates land acquisition costs and accelerates early-stage development.</w:t>
      </w:r>
    </w:p>
    <w:p w14:paraId="433E3FB2" w14:textId="77777777" w:rsidR="005703D3" w:rsidRPr="005703D3" w:rsidRDefault="005703D3" w:rsidP="005703D3">
      <w:pPr>
        <w:numPr>
          <w:ilvl w:val="1"/>
          <w:numId w:val="2"/>
        </w:numPr>
      </w:pPr>
      <w:r w:rsidRPr="005703D3">
        <w:rPr>
          <w:b/>
          <w:bCs/>
        </w:rPr>
        <w:t>Existing transmission infrastructure</w:t>
      </w:r>
      <w:r w:rsidRPr="005703D3">
        <w:t xml:space="preserve"> near the Waterford site facilitates easier and less expensive electrical interconnection compared to alternative locations.</w:t>
      </w:r>
    </w:p>
    <w:p w14:paraId="461E55AF" w14:textId="77777777" w:rsidR="005703D3" w:rsidRPr="005703D3" w:rsidRDefault="005703D3" w:rsidP="005703D3">
      <w:pPr>
        <w:rPr>
          <w:b/>
          <w:bCs/>
        </w:rPr>
      </w:pPr>
      <w:r w:rsidRPr="005703D3">
        <w:rPr>
          <w:b/>
          <w:bCs/>
        </w:rPr>
        <w:t>3. Cost Impact of the Selected Location:</w:t>
      </w:r>
    </w:p>
    <w:p w14:paraId="14C9FDC8" w14:textId="77777777" w:rsidR="005703D3" w:rsidRPr="005703D3" w:rsidRDefault="005703D3" w:rsidP="005703D3">
      <w:pPr>
        <w:numPr>
          <w:ilvl w:val="0"/>
          <w:numId w:val="3"/>
        </w:numPr>
      </w:pPr>
      <w:r w:rsidRPr="005703D3">
        <w:t xml:space="preserve">No material </w:t>
      </w:r>
      <w:proofErr w:type="gramStart"/>
      <w:r w:rsidRPr="005703D3">
        <w:t>increase</w:t>
      </w:r>
      <w:proofErr w:type="gramEnd"/>
      <w:r w:rsidRPr="005703D3">
        <w:t xml:space="preserve"> in the project costs initially estimated for the third CCCT.</w:t>
      </w:r>
    </w:p>
    <w:p w14:paraId="2419A804" w14:textId="77777777" w:rsidR="005703D3" w:rsidRPr="005703D3" w:rsidRDefault="005703D3" w:rsidP="005703D3">
      <w:pPr>
        <w:numPr>
          <w:ilvl w:val="0"/>
          <w:numId w:val="3"/>
        </w:numPr>
      </w:pPr>
      <w:r w:rsidRPr="005703D3">
        <w:t>Potential for cost savings at Waterford due to existing infrastructure.</w:t>
      </w:r>
    </w:p>
    <w:p w14:paraId="074F6A70" w14:textId="77777777" w:rsidR="005703D3" w:rsidRPr="005703D3" w:rsidRDefault="005703D3" w:rsidP="005703D3">
      <w:pPr>
        <w:rPr>
          <w:b/>
          <w:bCs/>
        </w:rPr>
      </w:pPr>
      <w:r w:rsidRPr="005703D3">
        <w:rPr>
          <w:b/>
          <w:bCs/>
        </w:rPr>
        <w:t>4. Contractual Updates with Customer (Laidley, LLC):</w:t>
      </w:r>
    </w:p>
    <w:p w14:paraId="0CB2FB05" w14:textId="77777777" w:rsidR="005703D3" w:rsidRPr="005703D3" w:rsidRDefault="005703D3" w:rsidP="005703D3">
      <w:pPr>
        <w:numPr>
          <w:ilvl w:val="0"/>
          <w:numId w:val="4"/>
        </w:numPr>
      </w:pPr>
      <w:r w:rsidRPr="005703D3">
        <w:t xml:space="preserve">The customer, Laidley LLC, has requested an </w:t>
      </w:r>
      <w:r w:rsidRPr="005703D3">
        <w:rPr>
          <w:b/>
          <w:bCs/>
        </w:rPr>
        <w:t xml:space="preserve">increase in </w:t>
      </w:r>
      <w:proofErr w:type="gramStart"/>
      <w:r w:rsidRPr="005703D3">
        <w:rPr>
          <w:b/>
          <w:bCs/>
        </w:rPr>
        <w:t>load</w:t>
      </w:r>
      <w:proofErr w:type="gramEnd"/>
      <w:r w:rsidRPr="005703D3">
        <w:t xml:space="preserve"> beyond initial commitments for the planned data center in Richland Parish, Louisiana.</w:t>
      </w:r>
    </w:p>
    <w:p w14:paraId="4954A85C" w14:textId="77777777" w:rsidR="005703D3" w:rsidRPr="005703D3" w:rsidRDefault="005703D3" w:rsidP="005703D3">
      <w:pPr>
        <w:numPr>
          <w:ilvl w:val="0"/>
          <w:numId w:val="4"/>
        </w:numPr>
      </w:pPr>
      <w:r w:rsidRPr="005703D3">
        <w:t xml:space="preserve">ELL confirms the increased load can be accommodated without additional generation resources at this </w:t>
      </w:r>
      <w:proofErr w:type="gramStart"/>
      <w:r w:rsidRPr="005703D3">
        <w:t>stage, but</w:t>
      </w:r>
      <w:proofErr w:type="gramEnd"/>
      <w:r w:rsidRPr="005703D3">
        <w:t xml:space="preserve"> would necessitate the construction of additional transmission facilities.</w:t>
      </w:r>
    </w:p>
    <w:p w14:paraId="4FCBBE71" w14:textId="77777777" w:rsidR="005703D3" w:rsidRPr="005703D3" w:rsidRDefault="005703D3" w:rsidP="005703D3">
      <w:pPr>
        <w:rPr>
          <w:b/>
          <w:bCs/>
        </w:rPr>
      </w:pPr>
      <w:r w:rsidRPr="005703D3">
        <w:rPr>
          <w:b/>
          <w:bCs/>
        </w:rPr>
        <w:t>5. Additional Transmission Facilities:</w:t>
      </w:r>
    </w:p>
    <w:p w14:paraId="5655D9E7" w14:textId="77777777" w:rsidR="005703D3" w:rsidRPr="005703D3" w:rsidRDefault="005703D3" w:rsidP="005703D3">
      <w:pPr>
        <w:numPr>
          <w:ilvl w:val="0"/>
          <w:numId w:val="5"/>
        </w:numPr>
      </w:pPr>
      <w:r w:rsidRPr="005703D3">
        <w:t xml:space="preserve">These additional facilities are explicitly classified </w:t>
      </w:r>
      <w:r w:rsidRPr="005703D3">
        <w:rPr>
          <w:b/>
          <w:bCs/>
        </w:rPr>
        <w:t>not as system improvements</w:t>
      </w:r>
      <w:r w:rsidRPr="005703D3">
        <w:t>.</w:t>
      </w:r>
    </w:p>
    <w:p w14:paraId="36955F7D" w14:textId="77777777" w:rsidR="005703D3" w:rsidRPr="005703D3" w:rsidRDefault="005703D3" w:rsidP="005703D3">
      <w:pPr>
        <w:numPr>
          <w:ilvl w:val="0"/>
          <w:numId w:val="5"/>
        </w:numPr>
      </w:pPr>
      <w:r w:rsidRPr="005703D3">
        <w:t>The costs for these facilities are estimated (confidential amount redacted in public version) and will be directly borne by the customer (Laidley), ensuring no cost impact on retail or wholesale rates assessed to other Louisiana customers.</w:t>
      </w:r>
    </w:p>
    <w:p w14:paraId="1B7D1FD2" w14:textId="77777777" w:rsidR="005703D3" w:rsidRPr="005703D3" w:rsidRDefault="005703D3" w:rsidP="005703D3">
      <w:pPr>
        <w:rPr>
          <w:b/>
          <w:bCs/>
        </w:rPr>
      </w:pPr>
      <w:r w:rsidRPr="005703D3">
        <w:rPr>
          <w:b/>
          <w:bCs/>
        </w:rPr>
        <w:t>6. Commission Approval Requirements:</w:t>
      </w:r>
    </w:p>
    <w:p w14:paraId="2A3A73DD" w14:textId="77777777" w:rsidR="005703D3" w:rsidRPr="005703D3" w:rsidRDefault="005703D3" w:rsidP="005703D3">
      <w:pPr>
        <w:numPr>
          <w:ilvl w:val="0"/>
          <w:numId w:val="6"/>
        </w:numPr>
      </w:pPr>
      <w:r w:rsidRPr="005703D3">
        <w:lastRenderedPageBreak/>
        <w:t>ELL anticipates these additional facilities would not require separate LPSC approval, citing exemptions within the Transmission Siting Order (General Order 09-10-2024), specifically:</w:t>
      </w:r>
    </w:p>
    <w:p w14:paraId="1F7B9E15" w14:textId="77777777" w:rsidR="005703D3" w:rsidRPr="005703D3" w:rsidRDefault="005703D3" w:rsidP="005703D3">
      <w:pPr>
        <w:numPr>
          <w:ilvl w:val="1"/>
          <w:numId w:val="6"/>
        </w:numPr>
      </w:pPr>
      <w:r w:rsidRPr="005703D3">
        <w:t>Facilities whose costs are fully funded by customer contributions and never reflected in retail or wholesale rates.</w:t>
      </w:r>
    </w:p>
    <w:p w14:paraId="646C5954" w14:textId="77777777" w:rsidR="005703D3" w:rsidRPr="005703D3" w:rsidRDefault="005703D3" w:rsidP="005703D3">
      <w:pPr>
        <w:numPr>
          <w:ilvl w:val="1"/>
          <w:numId w:val="6"/>
        </w:numPr>
      </w:pPr>
      <w:r w:rsidRPr="005703D3">
        <w:t>Facilities solely constructed to serve a specifically identified new industrial load already subject to an executed electric service agreement (ESA).</w:t>
      </w:r>
    </w:p>
    <w:p w14:paraId="2BABD338" w14:textId="77777777" w:rsidR="005703D3" w:rsidRPr="005703D3" w:rsidRDefault="005703D3" w:rsidP="005703D3">
      <w:pPr>
        <w:rPr>
          <w:b/>
          <w:bCs/>
        </w:rPr>
      </w:pPr>
      <w:r w:rsidRPr="005703D3">
        <w:rPr>
          <w:b/>
          <w:bCs/>
        </w:rPr>
        <w:t>7. Potential ESA Amendments:</w:t>
      </w:r>
    </w:p>
    <w:p w14:paraId="79D2CDCD" w14:textId="77777777" w:rsidR="005703D3" w:rsidRPr="005703D3" w:rsidRDefault="005703D3" w:rsidP="005703D3">
      <w:pPr>
        <w:numPr>
          <w:ilvl w:val="0"/>
          <w:numId w:val="7"/>
        </w:numPr>
      </w:pPr>
      <w:r w:rsidRPr="005703D3">
        <w:t>Negotiations are ongoing between ELL and Laidley LLC regarding the increased load requirements and related facilities.</w:t>
      </w:r>
    </w:p>
    <w:p w14:paraId="272E3619" w14:textId="77777777" w:rsidR="005703D3" w:rsidRPr="005703D3" w:rsidRDefault="005703D3" w:rsidP="005703D3">
      <w:pPr>
        <w:numPr>
          <w:ilvl w:val="0"/>
          <w:numId w:val="7"/>
        </w:numPr>
      </w:pPr>
      <w:r w:rsidRPr="005703D3">
        <w:t>Any resultant ESA amendments, according to ELL’s interpretation, would not require Commission approval as they are not "site-specific contracts" under the LPSC Tariff Filings General Order.</w:t>
      </w:r>
    </w:p>
    <w:p w14:paraId="32DE240A" w14:textId="77777777" w:rsidR="005703D3" w:rsidRPr="005703D3" w:rsidRDefault="005703D3" w:rsidP="005703D3">
      <w:pPr>
        <w:numPr>
          <w:ilvl w:val="0"/>
          <w:numId w:val="7"/>
        </w:numPr>
      </w:pPr>
      <w:r w:rsidRPr="005703D3">
        <w:t>ESA amendments would not require changes to the Corporate Sustainability Rider (CSR), previously submitted for Commission approval.</w:t>
      </w:r>
    </w:p>
    <w:p w14:paraId="0F196E00" w14:textId="77777777" w:rsidR="005703D3" w:rsidRPr="005703D3" w:rsidRDefault="005703D3" w:rsidP="005703D3">
      <w:pPr>
        <w:rPr>
          <w:b/>
          <w:bCs/>
        </w:rPr>
      </w:pPr>
      <w:r w:rsidRPr="005703D3">
        <w:rPr>
          <w:b/>
          <w:bCs/>
        </w:rPr>
        <w:t>Conclusion:</w:t>
      </w:r>
    </w:p>
    <w:p w14:paraId="5D9DABB9" w14:textId="77777777" w:rsidR="005703D3" w:rsidRPr="005703D3" w:rsidRDefault="005703D3" w:rsidP="005703D3">
      <w:r w:rsidRPr="005703D3">
        <w:t>The supplemental testimony provides key updates to facilitate transparency and compliance with regulatory processes, clarifying the project’s details and contractual implications without necessitating changes to the original requests for relief from the LPSC.</w:t>
      </w:r>
    </w:p>
    <w:p w14:paraId="46312357" w14:textId="77777777" w:rsidR="001E77D2" w:rsidRDefault="001E77D2"/>
    <w:sectPr w:rsidR="001E7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0E1312"/>
    <w:multiLevelType w:val="multilevel"/>
    <w:tmpl w:val="B8D2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16EAD"/>
    <w:multiLevelType w:val="multilevel"/>
    <w:tmpl w:val="560A5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5524D"/>
    <w:multiLevelType w:val="multilevel"/>
    <w:tmpl w:val="2EAA7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C7E7D"/>
    <w:multiLevelType w:val="multilevel"/>
    <w:tmpl w:val="BE22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134DE0"/>
    <w:multiLevelType w:val="multilevel"/>
    <w:tmpl w:val="8088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B0349D"/>
    <w:multiLevelType w:val="multilevel"/>
    <w:tmpl w:val="46CA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CC00F7"/>
    <w:multiLevelType w:val="multilevel"/>
    <w:tmpl w:val="84C2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9540157">
    <w:abstractNumId w:val="0"/>
  </w:num>
  <w:num w:numId="2" w16cid:durableId="872687900">
    <w:abstractNumId w:val="2"/>
  </w:num>
  <w:num w:numId="3" w16cid:durableId="1947080532">
    <w:abstractNumId w:val="5"/>
  </w:num>
  <w:num w:numId="4" w16cid:durableId="1225994780">
    <w:abstractNumId w:val="4"/>
  </w:num>
  <w:num w:numId="5" w16cid:durableId="1613199181">
    <w:abstractNumId w:val="3"/>
  </w:num>
  <w:num w:numId="6" w16cid:durableId="712845692">
    <w:abstractNumId w:val="1"/>
  </w:num>
  <w:num w:numId="7" w16cid:durableId="20767346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3D3"/>
    <w:rsid w:val="001E77D2"/>
    <w:rsid w:val="005703D3"/>
    <w:rsid w:val="00636502"/>
    <w:rsid w:val="0096775F"/>
    <w:rsid w:val="00DC2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7128E4"/>
  <w15:chartTrackingRefBased/>
  <w15:docId w15:val="{F62F472A-0956-4477-BA46-A9285F179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3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03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03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03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03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03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3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3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3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3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03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03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03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03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03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3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3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3D3"/>
    <w:rPr>
      <w:rFonts w:eastAsiaTheme="majorEastAsia" w:cstheme="majorBidi"/>
      <w:color w:val="272727" w:themeColor="text1" w:themeTint="D8"/>
    </w:rPr>
  </w:style>
  <w:style w:type="paragraph" w:styleId="Title">
    <w:name w:val="Title"/>
    <w:basedOn w:val="Normal"/>
    <w:next w:val="Normal"/>
    <w:link w:val="TitleChar"/>
    <w:uiPriority w:val="10"/>
    <w:qFormat/>
    <w:rsid w:val="005703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3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3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3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3D3"/>
    <w:pPr>
      <w:spacing w:before="160"/>
      <w:jc w:val="center"/>
    </w:pPr>
    <w:rPr>
      <w:i/>
      <w:iCs/>
      <w:color w:val="404040" w:themeColor="text1" w:themeTint="BF"/>
    </w:rPr>
  </w:style>
  <w:style w:type="character" w:customStyle="1" w:styleId="QuoteChar">
    <w:name w:val="Quote Char"/>
    <w:basedOn w:val="DefaultParagraphFont"/>
    <w:link w:val="Quote"/>
    <w:uiPriority w:val="29"/>
    <w:rsid w:val="005703D3"/>
    <w:rPr>
      <w:i/>
      <w:iCs/>
      <w:color w:val="404040" w:themeColor="text1" w:themeTint="BF"/>
    </w:rPr>
  </w:style>
  <w:style w:type="paragraph" w:styleId="ListParagraph">
    <w:name w:val="List Paragraph"/>
    <w:basedOn w:val="Normal"/>
    <w:uiPriority w:val="34"/>
    <w:qFormat/>
    <w:rsid w:val="005703D3"/>
    <w:pPr>
      <w:ind w:left="720"/>
      <w:contextualSpacing/>
    </w:pPr>
  </w:style>
  <w:style w:type="character" w:styleId="IntenseEmphasis">
    <w:name w:val="Intense Emphasis"/>
    <w:basedOn w:val="DefaultParagraphFont"/>
    <w:uiPriority w:val="21"/>
    <w:qFormat/>
    <w:rsid w:val="005703D3"/>
    <w:rPr>
      <w:i/>
      <w:iCs/>
      <w:color w:val="0F4761" w:themeColor="accent1" w:themeShade="BF"/>
    </w:rPr>
  </w:style>
  <w:style w:type="paragraph" w:styleId="IntenseQuote">
    <w:name w:val="Intense Quote"/>
    <w:basedOn w:val="Normal"/>
    <w:next w:val="Normal"/>
    <w:link w:val="IntenseQuoteChar"/>
    <w:uiPriority w:val="30"/>
    <w:qFormat/>
    <w:rsid w:val="005703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03D3"/>
    <w:rPr>
      <w:i/>
      <w:iCs/>
      <w:color w:val="0F4761" w:themeColor="accent1" w:themeShade="BF"/>
    </w:rPr>
  </w:style>
  <w:style w:type="character" w:styleId="IntenseReference">
    <w:name w:val="Intense Reference"/>
    <w:basedOn w:val="DefaultParagraphFont"/>
    <w:uiPriority w:val="32"/>
    <w:qFormat/>
    <w:rsid w:val="005703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831878">
      <w:bodyDiv w:val="1"/>
      <w:marLeft w:val="0"/>
      <w:marRight w:val="0"/>
      <w:marTop w:val="0"/>
      <w:marBottom w:val="0"/>
      <w:divBdr>
        <w:top w:val="none" w:sz="0" w:space="0" w:color="auto"/>
        <w:left w:val="none" w:sz="0" w:space="0" w:color="auto"/>
        <w:bottom w:val="none" w:sz="0" w:space="0" w:color="auto"/>
        <w:right w:val="none" w:sz="0" w:space="0" w:color="auto"/>
      </w:divBdr>
    </w:div>
    <w:div w:id="203326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436</Words>
  <Characters>2795</Characters>
  <Application>Microsoft Office Word</Application>
  <DocSecurity>0</DocSecurity>
  <Lines>50</Lines>
  <Paragraphs>29</Paragraphs>
  <ScaleCrop>false</ScaleCrop>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Gharaibeh</dc:creator>
  <cp:keywords/>
  <dc:description/>
  <cp:lastModifiedBy>Mohammad Gharaibeh</cp:lastModifiedBy>
  <cp:revision>1</cp:revision>
  <dcterms:created xsi:type="dcterms:W3CDTF">2025-05-27T23:51:00Z</dcterms:created>
  <dcterms:modified xsi:type="dcterms:W3CDTF">2025-05-27T23:51:00Z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5d3b00e4-cb2e-4056-a4cf-de051817135e</vt:lpwstr>
  </property>
</Properties>
</file>