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FFFF" w14:textId="56410330" w:rsidR="003406D3" w:rsidRPr="00A14314" w:rsidRDefault="003406D3" w:rsidP="003406D3">
      <w:pPr>
        <w:rPr>
          <w:rFonts w:ascii="Georgia" w:hAnsi="Georgia"/>
          <w:b/>
          <w:bCs/>
          <w:sz w:val="24"/>
          <w:szCs w:val="24"/>
        </w:rPr>
      </w:pPr>
      <w:r w:rsidRPr="00A14314">
        <w:rPr>
          <w:rFonts w:ascii="Georgia" w:hAnsi="Georgia"/>
          <w:b/>
          <w:bCs/>
          <w:sz w:val="24"/>
          <w:szCs w:val="24"/>
        </w:rPr>
        <w:t>S</w:t>
      </w:r>
      <w:r w:rsidRPr="00A14314">
        <w:rPr>
          <w:rFonts w:ascii="Georgia" w:hAnsi="Georgia"/>
          <w:b/>
          <w:bCs/>
          <w:sz w:val="24"/>
          <w:szCs w:val="24"/>
        </w:rPr>
        <w:t>2</w:t>
      </w:r>
      <w:r w:rsidRPr="00A14314">
        <w:rPr>
          <w:rFonts w:ascii="Georgia" w:hAnsi="Georgia"/>
          <w:b/>
          <w:bCs/>
          <w:sz w:val="24"/>
          <w:szCs w:val="24"/>
        </w:rPr>
        <w:t xml:space="preserve"> METHODS: </w:t>
      </w:r>
      <w:r w:rsidRPr="00A14314">
        <w:rPr>
          <w:rFonts w:ascii="Georgia" w:hAnsi="Georgia"/>
          <w:b/>
          <w:bCs/>
          <w:i/>
          <w:iCs/>
          <w:sz w:val="24"/>
          <w:szCs w:val="24"/>
        </w:rPr>
        <w:t xml:space="preserve">P. falciparum </w:t>
      </w:r>
      <w:r w:rsidRPr="00A14314">
        <w:rPr>
          <w:rFonts w:ascii="Georgia" w:hAnsi="Georgia"/>
          <w:b/>
          <w:bCs/>
          <w:sz w:val="24"/>
          <w:szCs w:val="24"/>
        </w:rPr>
        <w:t>dynamics VivaxModelR ODE</w:t>
      </w:r>
      <w:r w:rsidRPr="00A14314">
        <w:rPr>
          <w:rFonts w:ascii="Georgia" w:hAnsi="Georgia"/>
          <w:b/>
          <w:bCs/>
          <w:sz w:val="24"/>
          <w:szCs w:val="24"/>
        </w:rPr>
        <w:t xml:space="preserve"> E</w:t>
      </w:r>
      <w:r w:rsidRPr="00A14314">
        <w:rPr>
          <w:rFonts w:ascii="Georgia" w:hAnsi="Georgia"/>
          <w:b/>
          <w:bCs/>
          <w:sz w:val="24"/>
          <w:szCs w:val="24"/>
        </w:rPr>
        <w:t>quation</w:t>
      </w:r>
      <w:r w:rsidRPr="00A14314">
        <w:rPr>
          <w:rFonts w:ascii="Georgia" w:hAnsi="Georgia"/>
          <w:b/>
          <w:bCs/>
          <w:sz w:val="24"/>
          <w:szCs w:val="24"/>
        </w:rPr>
        <w:t xml:space="preserve"> </w:t>
      </w:r>
      <w:r w:rsidRPr="00A14314">
        <w:rPr>
          <w:rFonts w:ascii="Georgia" w:hAnsi="Georgia"/>
          <w:b/>
          <w:bCs/>
          <w:sz w:val="24"/>
          <w:szCs w:val="24"/>
        </w:rPr>
        <w:t xml:space="preserve">(3) </w:t>
      </w:r>
      <w:r w:rsidRPr="00A14314">
        <w:rPr>
          <w:rFonts w:ascii="Georgia" w:hAnsi="Georgia"/>
          <w:b/>
          <w:bCs/>
          <w:sz w:val="24"/>
          <w:szCs w:val="24"/>
        </w:rPr>
        <w:t>D</w:t>
      </w:r>
      <w:r w:rsidRPr="00A14314">
        <w:rPr>
          <w:rFonts w:ascii="Georgia" w:hAnsi="Georgia"/>
          <w:b/>
          <w:bCs/>
          <w:sz w:val="24"/>
          <w:szCs w:val="24"/>
        </w:rPr>
        <w:t>escription</w:t>
      </w:r>
    </w:p>
    <w:p w14:paraId="1053ABCA" w14:textId="068AC957" w:rsidR="00791918" w:rsidRPr="00A14314" w:rsidRDefault="00791918" w:rsidP="003406D3">
      <w:pPr>
        <w:rPr>
          <w:rFonts w:ascii="Georgia" w:hAnsi="Georgia" w:cstheme="minorHAnsi"/>
          <w:sz w:val="24"/>
          <w:szCs w:val="24"/>
        </w:rPr>
      </w:pPr>
      <w:r w:rsidRPr="00A14314">
        <w:rPr>
          <w:rFonts w:ascii="Georgia" w:hAnsi="Georgia" w:cstheme="minorHAnsi"/>
          <w:sz w:val="24"/>
          <w:szCs w:val="24"/>
        </w:rPr>
        <w:t xml:space="preserve">The </w:t>
      </w:r>
      <w:r w:rsidRPr="00A14314">
        <w:rPr>
          <w:rFonts w:ascii="Georgia" w:hAnsi="Georgia" w:cstheme="minorHAnsi"/>
          <w:sz w:val="24"/>
          <w:szCs w:val="24"/>
        </w:rPr>
        <w:t xml:space="preserve">compartmental model </w:t>
      </w:r>
      <w:r w:rsidRPr="00A14314">
        <w:rPr>
          <w:rFonts w:ascii="Georgia" w:hAnsi="Georgia" w:cstheme="minorHAnsi"/>
          <w:sz w:val="24"/>
          <w:szCs w:val="24"/>
        </w:rPr>
        <w:t xml:space="preserve">represents </w:t>
      </w:r>
      <w:r w:rsidRPr="00A14314">
        <w:rPr>
          <w:rFonts w:ascii="Georgia" w:hAnsi="Georgia" w:cstheme="minorHAnsi"/>
          <w:sz w:val="24"/>
          <w:szCs w:val="24"/>
        </w:rPr>
        <w:t>the host population</w:t>
      </w:r>
      <w:r w:rsidRPr="00A14314">
        <w:rPr>
          <w:rFonts w:ascii="Georgia" w:hAnsi="Georgia" w:cstheme="minorHAnsi"/>
          <w:sz w:val="24"/>
          <w:szCs w:val="24"/>
        </w:rPr>
        <w:t xml:space="preserve"> where it</w:t>
      </w:r>
      <w:r w:rsidRPr="00A14314">
        <w:rPr>
          <w:rFonts w:ascii="Georgia" w:hAnsi="Georgia" w:cstheme="minorHAnsi"/>
          <w:sz w:val="24"/>
          <w:szCs w:val="24"/>
        </w:rPr>
        <w:t xml:space="preserve"> is divided between infectious and susceptible individual</w:t>
      </w:r>
      <w:r w:rsidRPr="00A14314">
        <w:rPr>
          <w:rFonts w:ascii="Georgia" w:hAnsi="Georgia" w:cstheme="minorHAnsi"/>
          <w:sz w:val="24"/>
          <w:szCs w:val="24"/>
        </w:rPr>
        <w:t xml:space="preserve">s. </w:t>
      </w:r>
    </w:p>
    <w:p w14:paraId="5844353C" w14:textId="77777777" w:rsidR="006F2856" w:rsidRPr="00A14314" w:rsidRDefault="006F2856" w:rsidP="006F2856">
      <w:pPr>
        <w:rPr>
          <w:rFonts w:ascii="Georgia" w:hAnsi="Georgia"/>
          <w:sz w:val="24"/>
          <w:szCs w:val="24"/>
        </w:rPr>
      </w:pPr>
      <w:r w:rsidRPr="00A14314">
        <w:rPr>
          <w:rFonts w:ascii="Georgia" w:hAnsi="Georgia"/>
          <w:sz w:val="24"/>
          <w:szCs w:val="24"/>
        </w:rPr>
        <w:t>Models’ set of ODE equations can be represented as follows</w:t>
      </w:r>
    </w:p>
    <w:p w14:paraId="4BBB32A3" w14:textId="77777777" w:rsidR="006F2856" w:rsidRPr="00B224EE" w:rsidRDefault="006F2856" w:rsidP="006F2856">
      <w:pPr>
        <w:rPr>
          <w:rFonts w:eastAsiaTheme="minorEastAsia"/>
        </w:rPr>
      </w:pPr>
      <w:r w:rsidRPr="00B224EE">
        <w:rPr>
          <w:rFonts w:eastAsiaTheme="minorEastAsia"/>
        </w:rPr>
        <w:drawing>
          <wp:inline distT="0" distB="0" distL="0" distR="0" wp14:anchorId="67926A02" wp14:editId="76F9C3E9">
            <wp:extent cx="5731510" cy="1492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0B71" w14:textId="77777777" w:rsidR="00791918" w:rsidRPr="00A14314" w:rsidRDefault="00791918" w:rsidP="003406D3">
      <w:pPr>
        <w:rPr>
          <w:rFonts w:ascii="Georgia" w:hAnsi="Georgia"/>
          <w:color w:val="1F1F1F"/>
          <w:sz w:val="24"/>
          <w:szCs w:val="24"/>
        </w:rPr>
      </w:pPr>
      <w:r w:rsidRPr="00A14314">
        <w:rPr>
          <w:rFonts w:ascii="Georgia" w:hAnsi="Georgia"/>
          <w:color w:val="1F1F1F"/>
          <w:sz w:val="24"/>
          <w:szCs w:val="24"/>
        </w:rPr>
        <w:t>We l</w:t>
      </w:r>
      <w:r w:rsidRPr="00A14314">
        <w:rPr>
          <w:rFonts w:ascii="Georgia" w:hAnsi="Georgia"/>
          <w:color w:val="1F1F1F"/>
          <w:sz w:val="24"/>
          <w:szCs w:val="24"/>
        </w:rPr>
        <w:t>et</w:t>
      </w:r>
      <w:r w:rsidRPr="00A14314">
        <w:rPr>
          <w:rFonts w:ascii="Georgia" w:hAnsi="Georgia"/>
          <w:color w:val="1F1F1F"/>
          <w:sz w:val="24"/>
          <w:szCs w:val="24"/>
        </w:rPr>
        <w:t>:</w:t>
      </w:r>
    </w:p>
    <w:p w14:paraId="28069040" w14:textId="677DCE89" w:rsidR="00791918" w:rsidRPr="00A14314" w:rsidRDefault="00791918" w:rsidP="003406D3">
      <w:pPr>
        <w:rPr>
          <w:rFonts w:ascii="Georgia" w:hAnsi="Georgia"/>
          <w:color w:val="1F1F1F"/>
          <w:sz w:val="24"/>
          <w:szCs w:val="24"/>
        </w:rPr>
      </w:pPr>
      <w:r w:rsidRPr="00A14314">
        <w:rPr>
          <w:rStyle w:val="mjxassistivemathml"/>
          <w:rFonts w:ascii="Georgia" w:hAnsi="Georgia"/>
          <w:i/>
          <w:iCs/>
          <w:color w:val="1F1F1F"/>
          <w:sz w:val="24"/>
          <w:szCs w:val="24"/>
          <w:bdr w:val="none" w:sz="0" w:space="0" w:color="auto" w:frame="1"/>
        </w:rPr>
        <w:t>TL</w:t>
      </w:r>
      <w:r w:rsidRPr="00A14314">
        <w:rPr>
          <w:rFonts w:ascii="Georgia" w:hAnsi="Georgia"/>
          <w:color w:val="1F1F1F"/>
          <w:sz w:val="24"/>
          <w:szCs w:val="24"/>
        </w:rPr>
        <w:t> </w:t>
      </w:r>
      <w:r w:rsidRPr="00A14314">
        <w:rPr>
          <w:rFonts w:ascii="Georgia" w:hAnsi="Georgia"/>
          <w:color w:val="1F1F1F"/>
          <w:sz w:val="24"/>
          <w:szCs w:val="24"/>
        </w:rPr>
        <w:t>=</w:t>
      </w:r>
      <w:r w:rsidRPr="00A14314">
        <w:rPr>
          <w:rFonts w:ascii="Georgia" w:hAnsi="Georgia"/>
          <w:color w:val="1F1F1F"/>
          <w:sz w:val="24"/>
          <w:szCs w:val="24"/>
        </w:rPr>
        <w:t xml:space="preserve"> proportion of blood-stage infected population with liver-stage infection which receive effective treatment</w:t>
      </w:r>
    </w:p>
    <w:p w14:paraId="16521B92" w14:textId="00D6D465" w:rsidR="00791918" w:rsidRPr="00A14314" w:rsidRDefault="00791918" w:rsidP="003406D3">
      <w:pPr>
        <w:rPr>
          <w:rFonts w:ascii="Georgia" w:hAnsi="Georgia"/>
          <w:color w:val="1F1F1F"/>
          <w:sz w:val="24"/>
          <w:szCs w:val="24"/>
        </w:rPr>
      </w:pPr>
      <w:r w:rsidRPr="00A14314">
        <w:rPr>
          <w:rStyle w:val="mjxassistivemathml"/>
          <w:rFonts w:ascii="Georgia" w:hAnsi="Georgia"/>
          <w:i/>
          <w:iCs/>
          <w:color w:val="1F1F1F"/>
          <w:sz w:val="24"/>
          <w:szCs w:val="24"/>
          <w:bdr w:val="none" w:sz="0" w:space="0" w:color="auto" w:frame="1"/>
        </w:rPr>
        <w:t>T0</w:t>
      </w:r>
      <w:r w:rsidRPr="00A14314">
        <w:rPr>
          <w:rFonts w:ascii="Georgia" w:hAnsi="Georgia"/>
          <w:color w:val="1F1F1F"/>
          <w:sz w:val="24"/>
          <w:szCs w:val="24"/>
        </w:rPr>
        <w:t> </w:t>
      </w:r>
      <w:r w:rsidRPr="00A14314">
        <w:rPr>
          <w:rFonts w:ascii="Georgia" w:hAnsi="Georgia"/>
          <w:color w:val="1F1F1F"/>
          <w:sz w:val="24"/>
          <w:szCs w:val="24"/>
        </w:rPr>
        <w:t xml:space="preserve">= </w:t>
      </w:r>
      <w:r w:rsidRPr="00A14314">
        <w:rPr>
          <w:rFonts w:ascii="Georgia" w:hAnsi="Georgia"/>
          <w:color w:val="1F1F1F"/>
          <w:sz w:val="24"/>
          <w:szCs w:val="24"/>
        </w:rPr>
        <w:t>blood-stage infected population without liver-stage infection which receive effective treatment</w:t>
      </w:r>
    </w:p>
    <w:p w14:paraId="7C776F92" w14:textId="77777777" w:rsidR="00791918" w:rsidRPr="00A14314" w:rsidRDefault="00791918" w:rsidP="003406D3">
      <w:pPr>
        <w:rPr>
          <w:rFonts w:ascii="Georgia" w:hAnsi="Georgia"/>
          <w:color w:val="1F1F1F"/>
          <w:sz w:val="24"/>
          <w:szCs w:val="24"/>
        </w:rPr>
      </w:pPr>
      <w:r w:rsidRPr="00A14314">
        <w:rPr>
          <w:rStyle w:val="mjxassistivemathml"/>
          <w:rFonts w:ascii="Georgia" w:hAnsi="Georgia"/>
          <w:i/>
          <w:iCs/>
          <w:color w:val="1F1F1F"/>
          <w:sz w:val="24"/>
          <w:szCs w:val="24"/>
          <w:bdr w:val="none" w:sz="0" w:space="0" w:color="auto" w:frame="1"/>
        </w:rPr>
        <w:t>UL</w:t>
      </w:r>
      <w:r w:rsidRPr="00A14314">
        <w:rPr>
          <w:rFonts w:ascii="Georgia" w:hAnsi="Georgia"/>
          <w:color w:val="1F1F1F"/>
          <w:sz w:val="24"/>
          <w:szCs w:val="24"/>
        </w:rPr>
        <w:t> </w:t>
      </w:r>
      <w:r w:rsidRPr="00A14314">
        <w:rPr>
          <w:rFonts w:ascii="Georgia" w:hAnsi="Georgia"/>
          <w:color w:val="1F1F1F"/>
          <w:sz w:val="24"/>
          <w:szCs w:val="24"/>
        </w:rPr>
        <w:t>=</w:t>
      </w:r>
      <w:r w:rsidRPr="00A14314">
        <w:rPr>
          <w:rFonts w:ascii="Georgia" w:hAnsi="Georgia"/>
          <w:color w:val="1F1F1F"/>
          <w:sz w:val="24"/>
          <w:szCs w:val="24"/>
        </w:rPr>
        <w:t xml:space="preserve"> blood-stage infected population with liver-stage infection but which do not receive effective treatment</w:t>
      </w:r>
    </w:p>
    <w:p w14:paraId="6DDF4A8D" w14:textId="3222B47F" w:rsidR="00791918" w:rsidRPr="00A14314" w:rsidRDefault="00791918" w:rsidP="003406D3">
      <w:pPr>
        <w:rPr>
          <w:rFonts w:ascii="Georgia" w:hAnsi="Georgia"/>
          <w:color w:val="1F1F1F"/>
          <w:sz w:val="24"/>
          <w:szCs w:val="24"/>
        </w:rPr>
      </w:pPr>
      <w:r w:rsidRPr="00A14314">
        <w:rPr>
          <w:rStyle w:val="mjxassistivemathml"/>
          <w:rFonts w:ascii="Georgia" w:hAnsi="Georgia"/>
          <w:i/>
          <w:iCs/>
          <w:color w:val="1F1F1F"/>
          <w:sz w:val="24"/>
          <w:szCs w:val="24"/>
          <w:bdr w:val="none" w:sz="0" w:space="0" w:color="auto" w:frame="1"/>
        </w:rPr>
        <w:t>U0</w:t>
      </w:r>
      <w:r w:rsidRPr="00A14314">
        <w:rPr>
          <w:rFonts w:ascii="Georgia" w:hAnsi="Georgia"/>
          <w:color w:val="1F1F1F"/>
          <w:sz w:val="24"/>
          <w:szCs w:val="24"/>
        </w:rPr>
        <w:t> </w:t>
      </w:r>
      <w:r w:rsidRPr="00A14314">
        <w:rPr>
          <w:rFonts w:ascii="Georgia" w:hAnsi="Georgia"/>
          <w:color w:val="1F1F1F"/>
          <w:sz w:val="24"/>
          <w:szCs w:val="24"/>
        </w:rPr>
        <w:t>=</w:t>
      </w:r>
      <w:r w:rsidRPr="00A14314">
        <w:rPr>
          <w:rFonts w:ascii="Georgia" w:hAnsi="Georgia"/>
          <w:color w:val="1F1F1F"/>
          <w:sz w:val="24"/>
          <w:szCs w:val="24"/>
        </w:rPr>
        <w:t xml:space="preserve"> blood-stage infected population without liver-stage infection which do not receive effective treatment</w:t>
      </w:r>
    </w:p>
    <w:p w14:paraId="57B76822" w14:textId="19B23F8E" w:rsidR="006F2856" w:rsidRPr="00A14314" w:rsidRDefault="006F2856" w:rsidP="003406D3">
      <w:pPr>
        <w:rPr>
          <w:rFonts w:ascii="Georgia" w:hAnsi="Georgia"/>
          <w:color w:val="1F1F1F"/>
          <w:sz w:val="24"/>
          <w:szCs w:val="24"/>
        </w:rPr>
      </w:pPr>
      <w:r w:rsidRPr="00A14314">
        <w:rPr>
          <w:rStyle w:val="mjxassistivemathml"/>
          <w:rFonts w:ascii="Georgia" w:hAnsi="Georgia"/>
          <w:i/>
          <w:iCs/>
          <w:color w:val="1F1F1F"/>
          <w:sz w:val="24"/>
          <w:szCs w:val="24"/>
          <w:bdr w:val="none" w:sz="0" w:space="0" w:color="auto" w:frame="1"/>
        </w:rPr>
        <w:t>S0</w:t>
      </w:r>
      <w:r w:rsidRPr="00A14314">
        <w:rPr>
          <w:rFonts w:ascii="Georgia" w:hAnsi="Georgia"/>
          <w:color w:val="1F1F1F"/>
          <w:sz w:val="24"/>
          <w:szCs w:val="24"/>
        </w:rPr>
        <w:t> </w:t>
      </w:r>
      <w:r w:rsidRPr="00A14314">
        <w:rPr>
          <w:rFonts w:ascii="Georgia" w:hAnsi="Georgia"/>
          <w:color w:val="1F1F1F"/>
          <w:sz w:val="24"/>
          <w:szCs w:val="24"/>
        </w:rPr>
        <w:t>=</w:t>
      </w:r>
      <w:r w:rsidRPr="00A14314">
        <w:rPr>
          <w:rFonts w:ascii="Georgia" w:hAnsi="Georgia"/>
          <w:color w:val="1F1F1F"/>
          <w:sz w:val="24"/>
          <w:szCs w:val="24"/>
        </w:rPr>
        <w:t xml:space="preserve"> proportion of fully susceptible individuals</w:t>
      </w:r>
    </w:p>
    <w:p w14:paraId="0C6A848A" w14:textId="1A7871CB" w:rsidR="006F2856" w:rsidRPr="00A14314" w:rsidRDefault="006F2856" w:rsidP="003406D3">
      <w:pPr>
        <w:rPr>
          <w:rFonts w:ascii="Georgia" w:hAnsi="Georgia"/>
          <w:color w:val="1F1F1F"/>
          <w:sz w:val="24"/>
          <w:szCs w:val="24"/>
        </w:rPr>
      </w:pPr>
      <w:r w:rsidRPr="00A14314">
        <w:rPr>
          <w:rStyle w:val="mjxassistivemathml"/>
          <w:rFonts w:ascii="Georgia" w:hAnsi="Georgia"/>
          <w:i/>
          <w:iCs/>
          <w:color w:val="1F1F1F"/>
          <w:sz w:val="24"/>
          <w:szCs w:val="24"/>
          <w:bdr w:val="none" w:sz="0" w:space="0" w:color="auto" w:frame="1"/>
        </w:rPr>
        <w:t>SL</w:t>
      </w:r>
      <w:r w:rsidRPr="00A14314">
        <w:rPr>
          <w:rFonts w:ascii="Georgia" w:hAnsi="Georgia"/>
          <w:color w:val="1F1F1F"/>
          <w:sz w:val="24"/>
          <w:szCs w:val="24"/>
        </w:rPr>
        <w:t> </w:t>
      </w:r>
      <w:r w:rsidRPr="00A14314">
        <w:rPr>
          <w:rFonts w:ascii="Georgia" w:hAnsi="Georgia"/>
          <w:color w:val="1F1F1F"/>
          <w:sz w:val="24"/>
          <w:szCs w:val="24"/>
        </w:rPr>
        <w:t>=</w:t>
      </w:r>
      <w:r w:rsidRPr="00A14314">
        <w:rPr>
          <w:rFonts w:ascii="Georgia" w:hAnsi="Georgia"/>
          <w:color w:val="1F1F1F"/>
          <w:sz w:val="24"/>
          <w:szCs w:val="24"/>
        </w:rPr>
        <w:t xml:space="preserve"> individuals who have cleared their blood stage parasites but still harbour liver stage parasites and hence have the possibility to experience a relapse</w:t>
      </w:r>
    </w:p>
    <w:p w14:paraId="4375178C" w14:textId="25DBC65A" w:rsidR="00791918" w:rsidRPr="00A14314" w:rsidRDefault="00791918" w:rsidP="003406D3">
      <w:pPr>
        <w:rPr>
          <w:rFonts w:ascii="Georgia" w:eastAsiaTheme="minorEastAsia" w:hAnsi="Georgia"/>
          <w:color w:val="1F1F1F"/>
          <w:sz w:val="24"/>
          <w:szCs w:val="24"/>
          <w:bdr w:val="none" w:sz="0" w:space="0" w:color="auto" w:frame="1"/>
        </w:rPr>
      </w:pPr>
      <w:r w:rsidRPr="00A14314">
        <w:rPr>
          <w:rFonts w:ascii="Georgia" w:hAnsi="Georgia"/>
          <w:color w:val="1F1F1F"/>
          <w:sz w:val="24"/>
          <w:szCs w:val="24"/>
        </w:rPr>
        <w:t>We define</w:t>
      </w:r>
      <w:r w:rsidR="006F2856" w:rsidRPr="00A14314">
        <w:rPr>
          <w:rFonts w:ascii="Georgia" w:hAnsi="Georgia"/>
          <w:color w:val="1F1F1F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1F1F1F"/>
            <w:sz w:val="24"/>
            <w:szCs w:val="24"/>
          </w:rPr>
          <m:t> </m:t>
        </m:r>
        <m:r>
          <w:rPr>
            <w:rStyle w:val="mjxassistivemathml"/>
            <w:rFonts w:ascii="Cambria Math" w:hAnsi="Cambria Math"/>
            <w:color w:val="1F1F1F"/>
            <w:sz w:val="24"/>
            <w:szCs w:val="24"/>
            <w:bdr w:val="none" w:sz="0" w:space="0" w:color="auto" w:frame="1"/>
          </w:rPr>
          <m:t>I</m:t>
        </m:r>
        <m:r>
          <w:rPr>
            <w:rStyle w:val="mjxassistivemathml"/>
            <w:rFonts w:ascii="Cambria Math" w:hAnsi="Cambria Math" w:cs="Cambria Math"/>
            <w:color w:val="1F1F1F"/>
            <w:sz w:val="24"/>
            <w:szCs w:val="24"/>
            <w:bdr w:val="none" w:sz="0" w:space="0" w:color="auto" w:frame="1"/>
          </w:rPr>
          <m:t>≔</m:t>
        </m:r>
        <m:r>
          <w:rPr>
            <w:rStyle w:val="mjxassistivemathml"/>
            <w:rFonts w:ascii="Cambria Math" w:hAnsi="Cambria Math"/>
            <w:color w:val="1F1F1F"/>
            <w:sz w:val="24"/>
            <w:szCs w:val="24"/>
            <w:bdr w:val="none" w:sz="0" w:space="0" w:color="auto" w:frame="1"/>
          </w:rPr>
          <m:t>TL+T0+UL+U0</m:t>
        </m:r>
      </m:oMath>
      <w:r w:rsidR="006F2856" w:rsidRPr="00A14314">
        <w:rPr>
          <w:rStyle w:val="mjxassistivemathml"/>
          <w:rFonts w:ascii="Georgia" w:eastAsiaTheme="minorEastAsia" w:hAnsi="Georgia"/>
          <w:color w:val="1F1F1F"/>
          <w:sz w:val="24"/>
          <w:szCs w:val="24"/>
          <w:bdr w:val="none" w:sz="0" w:space="0" w:color="auto" w:frame="1"/>
        </w:rPr>
        <w:t xml:space="preserve"> </w:t>
      </w:r>
      <w:r w:rsidRPr="00A14314">
        <w:rPr>
          <w:rFonts w:ascii="Georgia" w:hAnsi="Georgia"/>
          <w:color w:val="1F1F1F"/>
          <w:sz w:val="24"/>
          <w:szCs w:val="24"/>
        </w:rPr>
        <w:t>as the proportion of blood-stage infections</w:t>
      </w:r>
    </w:p>
    <w:p w14:paraId="4C2620F4" w14:textId="66DDC524" w:rsidR="003406D3" w:rsidRPr="00A14314" w:rsidRDefault="003406D3" w:rsidP="003406D3">
      <w:pPr>
        <w:rPr>
          <w:rFonts w:ascii="Georgia" w:hAnsi="Georgia" w:cstheme="minorHAnsi"/>
          <w:sz w:val="24"/>
          <w:szCs w:val="24"/>
        </w:rPr>
      </w:pPr>
      <w:r w:rsidRPr="00A14314">
        <w:rPr>
          <w:rFonts w:ascii="Georgia" w:hAnsi="Georgia" w:cstheme="minorHAnsi"/>
          <w:sz w:val="24"/>
          <w:szCs w:val="24"/>
        </w:rPr>
        <w:t xml:space="preserve">We modify the model </w:t>
      </w:r>
      <w:r w:rsidRPr="00A14314">
        <w:rPr>
          <w:rFonts w:ascii="Georgia" w:hAnsi="Georgia" w:cstheme="minorHAnsi"/>
          <w:i/>
          <w:iCs/>
          <w:sz w:val="24"/>
          <w:szCs w:val="24"/>
        </w:rPr>
        <w:t>P. vivax</w:t>
      </w:r>
      <w:r w:rsidRPr="00A14314">
        <w:rPr>
          <w:rFonts w:ascii="Georgia" w:hAnsi="Georgia" w:cstheme="minorHAnsi"/>
          <w:sz w:val="24"/>
          <w:szCs w:val="24"/>
        </w:rPr>
        <w:t xml:space="preserve"> dynamics of liver clearance rate </w:t>
      </w:r>
      <w:r w:rsidRPr="00A14314">
        <w:rPr>
          <w:rFonts w:ascii="Georgia" w:hAnsi="Georgia" w:cstheme="minorHAnsi"/>
          <w:i/>
          <w:iCs/>
          <w:sz w:val="24"/>
          <w:szCs w:val="24"/>
        </w:rPr>
        <w:t>gamma (γL),</w:t>
      </w:r>
      <w:r w:rsidRPr="00A14314">
        <w:rPr>
          <w:rFonts w:ascii="Georgia" w:hAnsi="Georgia" w:cstheme="minorHAnsi"/>
          <w:sz w:val="24"/>
          <w:szCs w:val="24"/>
        </w:rPr>
        <w:t xml:space="preserve"> and the relapse and reinfection frequency </w:t>
      </w:r>
      <w:r w:rsidRPr="00A14314">
        <w:rPr>
          <w:rFonts w:ascii="Georgia" w:hAnsi="Georgia" w:cstheme="minorHAnsi"/>
          <w:i/>
          <w:iCs/>
          <w:sz w:val="24"/>
          <w:szCs w:val="24"/>
        </w:rPr>
        <w:t>f</w:t>
      </w:r>
      <w:r w:rsidRPr="00A14314">
        <w:rPr>
          <w:rFonts w:ascii="Georgia" w:hAnsi="Georgia" w:cstheme="minorHAnsi"/>
          <w:sz w:val="24"/>
          <w:szCs w:val="24"/>
        </w:rPr>
        <w:t xml:space="preserve">, by setting the values </w:t>
      </w:r>
      <w:r w:rsidRPr="00A14314">
        <w:rPr>
          <w:rFonts w:ascii="Georgia" w:hAnsi="Georgia" w:cstheme="minorHAnsi"/>
          <w:i/>
          <w:iCs/>
          <w:sz w:val="24"/>
          <w:szCs w:val="24"/>
        </w:rPr>
        <w:t>gamma = 1</w:t>
      </w:r>
      <w:r w:rsidRPr="00A14314">
        <w:rPr>
          <w:rFonts w:ascii="Georgia" w:hAnsi="Georgia" w:cstheme="minorHAnsi"/>
          <w:sz w:val="24"/>
          <w:szCs w:val="24"/>
        </w:rPr>
        <w:t xml:space="preserve"> and </w:t>
      </w:r>
      <w:r w:rsidRPr="00A14314">
        <w:rPr>
          <w:rFonts w:ascii="Georgia" w:hAnsi="Georgia" w:cstheme="minorHAnsi"/>
          <w:i/>
          <w:iCs/>
          <w:sz w:val="24"/>
          <w:szCs w:val="24"/>
        </w:rPr>
        <w:t>f = 0</w:t>
      </w:r>
      <w:r w:rsidRPr="00A14314">
        <w:rPr>
          <w:rFonts w:ascii="Georgia" w:hAnsi="Georgia" w:cstheme="minorHAnsi"/>
          <w:sz w:val="24"/>
          <w:szCs w:val="24"/>
        </w:rPr>
        <w:t xml:space="preserve">. We also set the parameter </w:t>
      </w:r>
      <w:r w:rsidRPr="00A14314">
        <w:rPr>
          <w:rFonts w:ascii="Georgia" w:hAnsi="Georgia" w:cstheme="minorHAnsi"/>
          <w:i/>
          <w:iCs/>
          <w:sz w:val="24"/>
          <w:szCs w:val="24"/>
        </w:rPr>
        <w:t>beta (β)</w:t>
      </w:r>
      <w:r w:rsidRPr="00A14314">
        <w:rPr>
          <w:rFonts w:ascii="Georgia" w:hAnsi="Georgia" w:cstheme="minorHAnsi"/>
          <w:sz w:val="24"/>
          <w:szCs w:val="24"/>
        </w:rPr>
        <w:t xml:space="preserve"> to zero, defined as the probability that individuals clear their liver stage, an aspect of </w:t>
      </w:r>
      <w:r w:rsidRPr="00A14314">
        <w:rPr>
          <w:rFonts w:ascii="Georgia" w:hAnsi="Georgia" w:cstheme="minorHAnsi"/>
          <w:i/>
          <w:iCs/>
          <w:sz w:val="24"/>
          <w:szCs w:val="24"/>
        </w:rPr>
        <w:t>P. vivax</w:t>
      </w:r>
      <w:r w:rsidRPr="00A14314">
        <w:rPr>
          <w:rFonts w:ascii="Georgia" w:hAnsi="Georgia" w:cstheme="minorHAnsi"/>
          <w:sz w:val="24"/>
          <w:szCs w:val="24"/>
        </w:rPr>
        <w:t xml:space="preserve"> dynamics, </w:t>
      </w:r>
      <w:r w:rsidRPr="00A14314">
        <w:rPr>
          <w:rFonts w:ascii="Georgia" w:hAnsi="Georgia" w:cstheme="minorHAnsi"/>
          <w:i/>
          <w:iCs/>
          <w:sz w:val="24"/>
          <w:szCs w:val="24"/>
        </w:rPr>
        <w:t>β = 0</w:t>
      </w:r>
      <w:r w:rsidRPr="00A14314">
        <w:rPr>
          <w:rFonts w:ascii="Georgia" w:hAnsi="Georgia" w:cstheme="minorHAnsi"/>
          <w:sz w:val="24"/>
          <w:szCs w:val="24"/>
        </w:rPr>
        <w:t>.</w:t>
      </w:r>
    </w:p>
    <w:p w14:paraId="64E0EDE3" w14:textId="453B9CB3" w:rsidR="006F2856" w:rsidRPr="00A14314" w:rsidRDefault="006F2856" w:rsidP="003406D3">
      <w:pPr>
        <w:rPr>
          <w:rFonts w:ascii="Georgia" w:hAnsi="Georgia"/>
          <w:color w:val="1F1F1F"/>
          <w:sz w:val="24"/>
          <w:szCs w:val="24"/>
        </w:rPr>
      </w:pPr>
      <w:r w:rsidRPr="00A14314">
        <w:rPr>
          <w:rFonts w:ascii="Georgia" w:hAnsi="Georgia" w:cstheme="minorHAnsi"/>
          <w:sz w:val="24"/>
          <w:szCs w:val="24"/>
        </w:rPr>
        <w:t>In this</w:t>
      </w:r>
      <w:r w:rsidRPr="00A14314">
        <w:rPr>
          <w:rFonts w:ascii="Georgia" w:hAnsi="Georgia" w:cstheme="minorHAnsi"/>
          <w:sz w:val="24"/>
          <w:szCs w:val="24"/>
        </w:rPr>
        <w:t xml:space="preserve"> model, case management is represented</w:t>
      </w:r>
      <w:r w:rsidRPr="00A14314">
        <w:rPr>
          <w:rFonts w:ascii="Georgia" w:hAnsi="Georgia" w:cstheme="minorHAnsi"/>
          <w:sz w:val="24"/>
          <w:szCs w:val="24"/>
        </w:rPr>
        <w:t xml:space="preserve"> by </w:t>
      </w:r>
      <w:r w:rsidRPr="00A14314">
        <w:rPr>
          <w:rFonts w:ascii="Georgia" w:hAnsi="Georgia"/>
          <w:color w:val="1F1F1F"/>
          <w:sz w:val="24"/>
          <w:szCs w:val="24"/>
        </w:rPr>
        <w:t>proportion of individuals receiving effective treatment (</w:t>
      </w:r>
      <w:r w:rsidRPr="00A14314">
        <w:rPr>
          <w:rStyle w:val="mjxassistivemathml"/>
          <w:rFonts w:ascii="Georgia" w:hAnsi="Georgia"/>
          <w:color w:val="1F1F1F"/>
          <w:sz w:val="24"/>
          <w:szCs w:val="24"/>
          <w:bdr w:val="none" w:sz="0" w:space="0" w:color="auto" w:frame="1"/>
        </w:rPr>
        <w:t>α</w:t>
      </w:r>
      <w:r w:rsidRPr="00A14314">
        <w:rPr>
          <w:rFonts w:ascii="Georgia" w:hAnsi="Georgia"/>
          <w:color w:val="1F1F1F"/>
          <w:sz w:val="24"/>
          <w:szCs w:val="24"/>
        </w:rPr>
        <w:t>),</w:t>
      </w:r>
      <w:r w:rsidRPr="00A14314">
        <w:rPr>
          <w:rFonts w:ascii="Georgia" w:hAnsi="Georgia"/>
          <w:color w:val="1F1F1F"/>
          <w:sz w:val="24"/>
          <w:szCs w:val="24"/>
        </w:rPr>
        <w:t xml:space="preserve"> </w:t>
      </w:r>
      <w:r w:rsidRPr="00A14314">
        <w:rPr>
          <w:rFonts w:ascii="Georgia" w:hAnsi="Georgia"/>
          <w:color w:val="1F1F1F"/>
          <w:sz w:val="24"/>
          <w:szCs w:val="24"/>
        </w:rPr>
        <w:t>the proportion of individuals whose blood-stage parasites are effectively cleared due to treatment</w:t>
      </w:r>
      <w:r w:rsidR="0060465F" w:rsidRPr="00A14314">
        <w:rPr>
          <w:rFonts w:ascii="Georgia" w:hAnsi="Georgia"/>
          <w:color w:val="1F1F1F"/>
          <w:sz w:val="24"/>
          <w:szCs w:val="24"/>
        </w:rPr>
        <w:t>.</w:t>
      </w:r>
    </w:p>
    <w:p w14:paraId="37FB2309" w14:textId="77777777" w:rsidR="0060465F" w:rsidRPr="0060465F" w:rsidRDefault="0060465F" w:rsidP="0060465F">
      <w:pPr>
        <w:rPr>
          <w:rFonts w:ascii="Georgia" w:hAnsi="Georgia"/>
          <w:color w:val="1F1F1F"/>
          <w:sz w:val="24"/>
          <w:szCs w:val="24"/>
        </w:rPr>
      </w:pPr>
      <w:r w:rsidRPr="0060465F">
        <w:rPr>
          <w:rFonts w:ascii="Georgia" w:hAnsi="Georgia"/>
          <w:color w:val="1F1F1F"/>
          <w:sz w:val="24"/>
          <w:szCs w:val="24"/>
        </w:rPr>
        <w:t xml:space="preserve">The observed incidence </w:t>
      </w:r>
      <w:r w:rsidRPr="0060465F">
        <w:rPr>
          <w:rFonts w:ascii="Georgia" w:hAnsi="Georgia"/>
          <w:i/>
          <w:iCs/>
          <w:color w:val="1F1F1F"/>
          <w:sz w:val="24"/>
          <w:szCs w:val="24"/>
        </w:rPr>
        <w:t>h</w:t>
      </w:r>
      <w:r w:rsidRPr="0060465F">
        <w:rPr>
          <w:rFonts w:ascii="Georgia" w:hAnsi="Georgia"/>
          <w:color w:val="1F1F1F"/>
          <w:sz w:val="24"/>
          <w:szCs w:val="24"/>
        </w:rPr>
        <w:t xml:space="preserve"> is defined as;</w:t>
      </w:r>
    </w:p>
    <w:p w14:paraId="387BDBB9" w14:textId="02B55AE4" w:rsidR="0060465F" w:rsidRPr="0060465F" w:rsidRDefault="0060465F" w:rsidP="0060465F">
      <w:pPr>
        <w:rPr>
          <w:rFonts w:ascii="Georgia" w:hAnsi="Georgia"/>
          <w:b/>
          <w:bCs/>
          <w:color w:val="1F1F1F"/>
          <w:sz w:val="24"/>
          <w:szCs w:val="24"/>
        </w:rPr>
      </w:pPr>
      <w:r w:rsidRPr="0060465F">
        <w:rPr>
          <w:rFonts w:ascii="Georgia" w:hAnsi="Georgia"/>
          <w:color w:val="1F1F1F"/>
          <w:sz w:val="24"/>
          <w:szCs w:val="24"/>
        </w:rPr>
        <w:t xml:space="preserve"> </w:t>
      </w:r>
      <w:r w:rsidR="00A14314">
        <w:rPr>
          <w:rFonts w:ascii="Georgia" w:hAnsi="Georgia"/>
          <w:b/>
          <w:bCs/>
          <w:i/>
          <w:iCs/>
          <w:color w:val="1F1F1F"/>
          <w:sz w:val="24"/>
          <w:szCs w:val="24"/>
        </w:rPr>
        <w:t xml:space="preserve">h = </w:t>
      </w:r>
      <w:r w:rsidR="00A14314" w:rsidRPr="0060465F">
        <w:rPr>
          <w:rFonts w:ascii="Georgia" w:hAnsi="Georgia"/>
          <w:b/>
          <w:bCs/>
          <w:color w:val="1F1F1F"/>
          <w:sz w:val="24"/>
          <w:szCs w:val="24"/>
        </w:rPr>
        <w:t>[</w:t>
      </w:r>
      <w:r w:rsidRPr="0060465F">
        <w:rPr>
          <w:rFonts w:ascii="Georgia" w:hAnsi="Georgia"/>
          <w:b/>
          <w:bCs/>
          <w:color w:val="1F1F1F"/>
          <w:sz w:val="24"/>
          <w:szCs w:val="24"/>
        </w:rPr>
        <w:t>(</w:t>
      </w:r>
      <w:r w:rsidRPr="0060465F">
        <w:rPr>
          <w:rFonts w:ascii="Cambria Math" w:hAnsi="Cambria Math" w:cs="Cambria Math"/>
          <w:b/>
          <w:bCs/>
          <w:color w:val="1F1F1F"/>
          <w:sz w:val="24"/>
          <w:szCs w:val="24"/>
        </w:rPr>
        <w:t>𝜆𝐼∗</w:t>
      </w:r>
      <w:r w:rsidRPr="0060465F">
        <w:rPr>
          <w:rFonts w:ascii="Georgia" w:hAnsi="Georgia"/>
          <w:b/>
          <w:bCs/>
          <w:color w:val="1F1F1F"/>
          <w:sz w:val="24"/>
          <w:szCs w:val="24"/>
        </w:rPr>
        <w:t>+</w:t>
      </w:r>
      <w:r w:rsidRPr="0060465F">
        <w:rPr>
          <w:rFonts w:ascii="Cambria Math" w:hAnsi="Cambria Math" w:cs="Cambria Math"/>
          <w:b/>
          <w:bCs/>
          <w:color w:val="1F1F1F"/>
          <w:sz w:val="24"/>
          <w:szCs w:val="24"/>
        </w:rPr>
        <w:t>𝛿</w:t>
      </w:r>
      <w:r w:rsidRPr="0060465F">
        <w:rPr>
          <w:rFonts w:ascii="Georgia" w:hAnsi="Georgia"/>
          <w:b/>
          <w:bCs/>
          <w:color w:val="1F1F1F"/>
          <w:sz w:val="24"/>
          <w:szCs w:val="24"/>
        </w:rPr>
        <w:t>) (1−</w:t>
      </w:r>
      <w:r w:rsidRPr="0060465F">
        <w:rPr>
          <w:rFonts w:ascii="Cambria Math" w:hAnsi="Cambria Math" w:cs="Cambria Math"/>
          <w:b/>
          <w:bCs/>
          <w:color w:val="1F1F1F"/>
          <w:sz w:val="24"/>
          <w:szCs w:val="24"/>
        </w:rPr>
        <w:t>𝐼</w:t>
      </w:r>
      <w:r w:rsidRPr="0060465F">
        <w:rPr>
          <w:rFonts w:ascii="Cambria Math" w:hAnsi="Cambria Math" w:cs="Cambria Math"/>
          <w:b/>
          <w:bCs/>
          <w:color w:val="1F1F1F"/>
          <w:sz w:val="24"/>
          <w:szCs w:val="24"/>
          <w:vertAlign w:val="superscript"/>
        </w:rPr>
        <w:t>∗</w:t>
      </w:r>
      <w:r w:rsidRPr="0060465F">
        <w:rPr>
          <w:rFonts w:ascii="Georgia" w:hAnsi="Georgia"/>
          <w:b/>
          <w:bCs/>
          <w:color w:val="1F1F1F"/>
          <w:sz w:val="24"/>
          <w:szCs w:val="24"/>
        </w:rPr>
        <w:t>) +</w:t>
      </w:r>
      <w:r w:rsidRPr="0060465F">
        <w:rPr>
          <w:rFonts w:ascii="Cambria Math" w:hAnsi="Cambria Math" w:cs="Cambria Math"/>
          <w:b/>
          <w:bCs/>
          <w:color w:val="1F1F1F"/>
          <w:sz w:val="24"/>
          <w:szCs w:val="24"/>
        </w:rPr>
        <w:t>𝑓</w:t>
      </w:r>
      <w:r w:rsidRPr="0060465F">
        <w:rPr>
          <w:rFonts w:ascii="Georgia" w:hAnsi="Georgia"/>
          <w:b/>
          <w:bCs/>
          <w:color w:val="1F1F1F"/>
          <w:sz w:val="24"/>
          <w:szCs w:val="24"/>
        </w:rPr>
        <w:t xml:space="preserve"> S</w:t>
      </w:r>
      <w:r w:rsidRPr="0060465F">
        <w:rPr>
          <w:rFonts w:ascii="Cambria Math" w:hAnsi="Cambria Math" w:cs="Cambria Math"/>
          <w:b/>
          <w:bCs/>
          <w:color w:val="1F1F1F"/>
          <w:sz w:val="24"/>
          <w:szCs w:val="24"/>
          <w:vertAlign w:val="superscript"/>
        </w:rPr>
        <w:t>∗</w:t>
      </w:r>
      <w:r w:rsidRPr="0060465F">
        <w:rPr>
          <w:rFonts w:ascii="Georgia" w:hAnsi="Georgia"/>
          <w:b/>
          <w:bCs/>
          <w:color w:val="1F1F1F"/>
          <w:sz w:val="24"/>
          <w:szCs w:val="24"/>
        </w:rPr>
        <w:t xml:space="preserve"> </w:t>
      </w:r>
      <w:r w:rsidRPr="0060465F">
        <w:rPr>
          <w:rFonts w:ascii="Cambria Math" w:hAnsi="Cambria Math" w:cs="Cambria Math"/>
          <w:b/>
          <w:bCs/>
          <w:color w:val="1F1F1F"/>
          <w:sz w:val="24"/>
          <w:szCs w:val="24"/>
        </w:rPr>
        <w:t>𝐿</w:t>
      </w:r>
      <w:r w:rsidRPr="0060465F">
        <w:rPr>
          <w:rFonts w:ascii="Georgia" w:hAnsi="Georgia"/>
          <w:b/>
          <w:bCs/>
          <w:color w:val="1F1F1F"/>
          <w:sz w:val="24"/>
          <w:szCs w:val="24"/>
        </w:rPr>
        <w:t>] ρ [(λI</w:t>
      </w:r>
      <w:r w:rsidRPr="0060465F">
        <w:rPr>
          <w:rFonts w:ascii="Cambria Math" w:hAnsi="Cambria Math" w:cs="Cambria Math"/>
          <w:b/>
          <w:bCs/>
          <w:color w:val="1F1F1F"/>
          <w:sz w:val="24"/>
          <w:szCs w:val="24"/>
          <w:vertAlign w:val="superscript"/>
        </w:rPr>
        <w:t>∗</w:t>
      </w:r>
      <w:r w:rsidRPr="0060465F">
        <w:rPr>
          <w:rFonts w:ascii="Georgia" w:hAnsi="Georgia"/>
          <w:b/>
          <w:bCs/>
          <w:color w:val="1F1F1F"/>
          <w:sz w:val="24"/>
          <w:szCs w:val="24"/>
        </w:rPr>
        <w:t xml:space="preserve"> +δ) (1−I</w:t>
      </w:r>
      <w:r w:rsidRPr="0060465F">
        <w:rPr>
          <w:rFonts w:ascii="Cambria Math" w:hAnsi="Cambria Math" w:cs="Cambria Math"/>
          <w:b/>
          <w:bCs/>
          <w:color w:val="1F1F1F"/>
          <w:sz w:val="24"/>
          <w:szCs w:val="24"/>
          <w:vertAlign w:val="superscript"/>
        </w:rPr>
        <w:t>∗</w:t>
      </w:r>
      <w:r w:rsidRPr="0060465F">
        <w:rPr>
          <w:rFonts w:ascii="Georgia" w:hAnsi="Georgia"/>
          <w:b/>
          <w:bCs/>
          <w:color w:val="1F1F1F"/>
          <w:sz w:val="24"/>
          <w:szCs w:val="24"/>
        </w:rPr>
        <w:t>) +fS</w:t>
      </w:r>
      <w:r w:rsidRPr="0060465F">
        <w:rPr>
          <w:rFonts w:ascii="Cambria Math" w:hAnsi="Cambria Math" w:cs="Cambria Math"/>
          <w:b/>
          <w:bCs/>
          <w:color w:val="1F1F1F"/>
          <w:sz w:val="24"/>
          <w:szCs w:val="24"/>
          <w:vertAlign w:val="superscript"/>
        </w:rPr>
        <w:t>∗</w:t>
      </w:r>
      <w:r w:rsidRPr="0060465F">
        <w:rPr>
          <w:rFonts w:ascii="Georgia" w:hAnsi="Georgia"/>
          <w:b/>
          <w:bCs/>
          <w:color w:val="1F1F1F"/>
          <w:sz w:val="24"/>
          <w:szCs w:val="24"/>
        </w:rPr>
        <w:t xml:space="preserve"> L</w:t>
      </w:r>
      <w:r w:rsidRPr="0060465F">
        <w:rPr>
          <w:rFonts w:ascii="Times New Roman" w:hAnsi="Times New Roman" w:cs="Times New Roman"/>
          <w:b/>
          <w:bCs/>
          <w:color w:val="1F1F1F"/>
          <w:sz w:val="24"/>
          <w:szCs w:val="24"/>
        </w:rPr>
        <w:t>​</w:t>
      </w:r>
      <w:r w:rsidRPr="0060465F">
        <w:rPr>
          <w:rFonts w:ascii="Georgia" w:hAnsi="Georgia"/>
          <w:b/>
          <w:bCs/>
          <w:color w:val="1F1F1F"/>
          <w:sz w:val="24"/>
          <w:szCs w:val="24"/>
        </w:rPr>
        <w:t>]</w:t>
      </w:r>
    </w:p>
    <w:p w14:paraId="02A91EAE" w14:textId="130BD3C7" w:rsidR="0060465F" w:rsidRPr="00A14314" w:rsidRDefault="0060465F" w:rsidP="0060465F">
      <w:pPr>
        <w:rPr>
          <w:rFonts w:ascii="Georgia" w:hAnsi="Georgia"/>
          <w:color w:val="1F1F1F"/>
          <w:sz w:val="24"/>
          <w:szCs w:val="24"/>
        </w:rPr>
      </w:pPr>
      <w:r w:rsidRPr="0060465F">
        <w:rPr>
          <w:rFonts w:ascii="Georgia" w:hAnsi="Georgia"/>
          <w:color w:val="1F1F1F"/>
          <w:sz w:val="24"/>
          <w:szCs w:val="24"/>
        </w:rPr>
        <w:t>Where </w:t>
      </w:r>
      <w:r w:rsidRPr="0060465F">
        <w:rPr>
          <w:rFonts w:ascii="Georgia" w:hAnsi="Georgia"/>
          <w:i/>
          <w:iCs/>
          <w:color w:val="1F1F1F"/>
          <w:sz w:val="24"/>
          <w:szCs w:val="24"/>
        </w:rPr>
        <w:t>I</w:t>
      </w:r>
      <w:r w:rsidRPr="0060465F">
        <w:rPr>
          <w:rFonts w:ascii="Cambria Math" w:hAnsi="Cambria Math" w:cs="Cambria Math"/>
          <w:i/>
          <w:iCs/>
          <w:color w:val="1F1F1F"/>
          <w:sz w:val="24"/>
          <w:szCs w:val="24"/>
          <w:vertAlign w:val="superscript"/>
        </w:rPr>
        <w:t>∗</w:t>
      </w:r>
      <w:r w:rsidRPr="0060465F">
        <w:rPr>
          <w:rFonts w:ascii="Georgia" w:hAnsi="Georgia"/>
          <w:color w:val="1F1F1F"/>
          <w:sz w:val="24"/>
          <w:szCs w:val="24"/>
        </w:rPr>
        <w:t> and </w:t>
      </w:r>
      <w:r w:rsidRPr="0060465F">
        <w:rPr>
          <w:rFonts w:ascii="Georgia" w:hAnsi="Georgia"/>
          <w:i/>
          <w:iCs/>
          <w:color w:val="1F1F1F"/>
          <w:sz w:val="24"/>
          <w:szCs w:val="24"/>
        </w:rPr>
        <w:t>S</w:t>
      </w:r>
      <w:r w:rsidRPr="0060465F">
        <w:rPr>
          <w:rFonts w:ascii="Cambria Math" w:hAnsi="Cambria Math" w:cs="Cambria Math"/>
          <w:i/>
          <w:iCs/>
          <w:color w:val="1F1F1F"/>
          <w:sz w:val="24"/>
          <w:szCs w:val="24"/>
          <w:vertAlign w:val="superscript"/>
        </w:rPr>
        <w:t>∗</w:t>
      </w:r>
      <w:r w:rsidRPr="0060465F">
        <w:rPr>
          <w:rFonts w:ascii="Georgia" w:hAnsi="Georgia"/>
          <w:i/>
          <w:iCs/>
          <w:color w:val="1F1F1F"/>
          <w:sz w:val="24"/>
          <w:szCs w:val="24"/>
          <w:vertAlign w:val="subscript"/>
        </w:rPr>
        <w:t>L</w:t>
      </w:r>
      <w:r w:rsidRPr="0060465F">
        <w:rPr>
          <w:rFonts w:ascii="Georgia" w:hAnsi="Georgia"/>
          <w:color w:val="1F1F1F"/>
          <w:sz w:val="24"/>
          <w:szCs w:val="24"/>
        </w:rPr>
        <w:t> are the equilibrium proportions for </w:t>
      </w:r>
      <w:r w:rsidRPr="0060465F">
        <w:rPr>
          <w:rFonts w:ascii="Georgia" w:hAnsi="Georgia"/>
          <w:i/>
          <w:iCs/>
          <w:color w:val="1F1F1F"/>
          <w:sz w:val="24"/>
          <w:szCs w:val="24"/>
        </w:rPr>
        <w:t>I</w:t>
      </w:r>
      <w:r w:rsidRPr="0060465F">
        <w:rPr>
          <w:rFonts w:ascii="Georgia" w:hAnsi="Georgia"/>
          <w:color w:val="1F1F1F"/>
          <w:sz w:val="24"/>
          <w:szCs w:val="24"/>
        </w:rPr>
        <w:t> and </w:t>
      </w:r>
      <w:r w:rsidRPr="0060465F">
        <w:rPr>
          <w:rFonts w:ascii="Georgia" w:hAnsi="Georgia"/>
          <w:i/>
          <w:iCs/>
          <w:color w:val="1F1F1F"/>
          <w:sz w:val="24"/>
          <w:szCs w:val="24"/>
        </w:rPr>
        <w:t>S</w:t>
      </w:r>
      <w:r w:rsidRPr="0060465F">
        <w:rPr>
          <w:rFonts w:ascii="Georgia" w:hAnsi="Georgia"/>
          <w:i/>
          <w:iCs/>
          <w:color w:val="1F1F1F"/>
          <w:sz w:val="24"/>
          <w:szCs w:val="24"/>
          <w:vertAlign w:val="subscript"/>
        </w:rPr>
        <w:t>L</w:t>
      </w:r>
      <w:r w:rsidRPr="0060465F">
        <w:rPr>
          <w:rFonts w:ascii="Georgia" w:hAnsi="Georgia"/>
          <w:color w:val="1F1F1F"/>
          <w:sz w:val="24"/>
          <w:szCs w:val="24"/>
        </w:rPr>
        <w:t> respectively and </w:t>
      </w:r>
      <w:r w:rsidRPr="0060465F">
        <w:rPr>
          <w:rFonts w:ascii="Georgia" w:hAnsi="Georgia"/>
          <w:i/>
          <w:iCs/>
          <w:color w:val="1F1F1F"/>
          <w:sz w:val="24"/>
          <w:szCs w:val="24"/>
        </w:rPr>
        <w:t>ρ</w:t>
      </w:r>
      <w:r w:rsidRPr="0060465F">
        <w:rPr>
          <w:rFonts w:ascii="Georgia" w:hAnsi="Georgia"/>
          <w:color w:val="1F1F1F"/>
          <w:sz w:val="24"/>
          <w:szCs w:val="24"/>
        </w:rPr>
        <w:t> is a reporting rate (proportion of infections that are effectively reported in the data</w:t>
      </w:r>
    </w:p>
    <w:p w14:paraId="47C83217" w14:textId="66366A0E" w:rsidR="008944BF" w:rsidRPr="00A14314" w:rsidRDefault="008944BF" w:rsidP="0060465F">
      <w:pPr>
        <w:rPr>
          <w:rFonts w:ascii="Georgia" w:hAnsi="Georgia"/>
          <w:color w:val="1F1F1F"/>
          <w:sz w:val="24"/>
          <w:szCs w:val="24"/>
        </w:rPr>
      </w:pPr>
    </w:p>
    <w:p w14:paraId="508F82C9" w14:textId="2C9941D9" w:rsidR="008944BF" w:rsidRPr="00A14314" w:rsidRDefault="008944BF" w:rsidP="0060465F">
      <w:pPr>
        <w:rPr>
          <w:rFonts w:ascii="Georgia" w:hAnsi="Georgia"/>
          <w:color w:val="1F1F1F"/>
          <w:sz w:val="24"/>
          <w:szCs w:val="24"/>
        </w:rPr>
      </w:pPr>
    </w:p>
    <w:tbl>
      <w:tblPr>
        <w:tblW w:w="8468" w:type="dxa"/>
        <w:tblBorders>
          <w:top w:val="single" w:sz="6" w:space="0" w:color="8E8E8E"/>
          <w:bottom w:val="single" w:sz="6" w:space="0" w:color="8E8E8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4343"/>
        <w:gridCol w:w="803"/>
        <w:gridCol w:w="1731"/>
      </w:tblGrid>
      <w:tr w:rsidR="008944BF" w:rsidRPr="008944BF" w14:paraId="4122ECC8" w14:textId="77777777" w:rsidTr="00832104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5D93CE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b/>
                <w:bCs/>
                <w:color w:val="1F1F1F"/>
                <w:sz w:val="24"/>
                <w:szCs w:val="24"/>
              </w:rPr>
              <w:t>Parameters</w:t>
            </w:r>
          </w:p>
        </w:tc>
        <w:tc>
          <w:tcPr>
            <w:tcW w:w="0" w:type="auto"/>
            <w:tcBorders>
              <w:bottom w:val="single" w:sz="6" w:space="0" w:color="8E8E8E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FBF45F" w14:textId="5F1445A4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A14314">
              <w:rPr>
                <w:rFonts w:ascii="Georgia" w:hAnsi="Georgia"/>
                <w:b/>
                <w:bCs/>
                <w:color w:val="1F1F1F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8E8E8E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DA8C45" w14:textId="27C094BF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A14314">
              <w:rPr>
                <w:rFonts w:ascii="Georgia" w:hAnsi="Georgia"/>
                <w:b/>
                <w:bCs/>
                <w:color w:val="1F1F1F"/>
                <w:sz w:val="24"/>
                <w:szCs w:val="24"/>
              </w:rPr>
              <w:t>Unit</w:t>
            </w:r>
          </w:p>
        </w:tc>
        <w:tc>
          <w:tcPr>
            <w:tcW w:w="0" w:type="auto"/>
            <w:tcBorders>
              <w:bottom w:val="single" w:sz="6" w:space="0" w:color="8E8E8E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440FE8" w14:textId="22173A02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A14314">
              <w:rPr>
                <w:rFonts w:ascii="Georgia" w:hAnsi="Georgia"/>
                <w:b/>
                <w:bCs/>
                <w:color w:val="1F1F1F"/>
                <w:sz w:val="24"/>
                <w:szCs w:val="24"/>
              </w:rPr>
              <w:t>Definition range</w:t>
            </w:r>
          </w:p>
        </w:tc>
      </w:tr>
      <w:tr w:rsidR="008944BF" w:rsidRPr="008944BF" w14:paraId="43BAD115" w14:textId="77777777" w:rsidTr="008944B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282A7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λ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BB443E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Transmission rate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35D6DD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time</w:t>
            </w:r>
            <w:r w:rsidRPr="008944BF">
              <w:rPr>
                <w:rFonts w:ascii="Georgia" w:hAnsi="Georgia"/>
                <w:color w:val="1F1F1F"/>
                <w:sz w:val="24"/>
                <w:szCs w:val="24"/>
                <w:vertAlign w:val="superscript"/>
              </w:rPr>
              <w:t>−1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80BC0A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≥0</w:t>
            </w:r>
          </w:p>
        </w:tc>
      </w:tr>
      <w:tr w:rsidR="008944BF" w:rsidRPr="008944BF" w14:paraId="7306F517" w14:textId="77777777" w:rsidTr="008944B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3D96F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E96A1D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Blood stage clearance rate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98BEDC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time</w:t>
            </w:r>
            <w:r w:rsidRPr="008944BF">
              <w:rPr>
                <w:rFonts w:ascii="Georgia" w:hAnsi="Georgia"/>
                <w:color w:val="1F1F1F"/>
                <w:sz w:val="24"/>
                <w:szCs w:val="24"/>
                <w:vertAlign w:val="superscript"/>
              </w:rPr>
              <w:t>−1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F0671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≥0</w:t>
            </w:r>
          </w:p>
        </w:tc>
      </w:tr>
      <w:tr w:rsidR="008944BF" w:rsidRPr="008944BF" w14:paraId="565EBAA0" w14:textId="77777777" w:rsidTr="008944B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F55D9A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γL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14CCAA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Liver stage clearance rate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FC6900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time</w:t>
            </w:r>
            <w:r w:rsidRPr="008944BF">
              <w:rPr>
                <w:rFonts w:ascii="Georgia" w:hAnsi="Georgia"/>
                <w:color w:val="1F1F1F"/>
                <w:sz w:val="24"/>
                <w:szCs w:val="24"/>
                <w:vertAlign w:val="superscript"/>
              </w:rPr>
              <w:t>−1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551DA2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≥0</w:t>
            </w:r>
          </w:p>
        </w:tc>
      </w:tr>
      <w:tr w:rsidR="008944BF" w:rsidRPr="008944BF" w14:paraId="0937DA78" w14:textId="77777777" w:rsidTr="008944B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2A5FC0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A7F122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Relapse frequency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DAA1E3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time</w:t>
            </w:r>
            <w:r w:rsidRPr="008944BF">
              <w:rPr>
                <w:rFonts w:ascii="Georgia" w:hAnsi="Georgia"/>
                <w:color w:val="1F1F1F"/>
                <w:sz w:val="24"/>
                <w:szCs w:val="24"/>
                <w:vertAlign w:val="superscript"/>
              </w:rPr>
              <w:t>−1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130BF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≥0</w:t>
            </w:r>
          </w:p>
        </w:tc>
      </w:tr>
      <w:tr w:rsidR="008944BF" w:rsidRPr="008944BF" w14:paraId="7E1FFB21" w14:textId="77777777" w:rsidTr="008944B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C4E138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δ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0100F4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Importation rate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8E61CA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time</w:t>
            </w:r>
            <w:r w:rsidRPr="008944BF">
              <w:rPr>
                <w:rFonts w:ascii="Georgia" w:hAnsi="Georgia"/>
                <w:color w:val="1F1F1F"/>
                <w:sz w:val="24"/>
                <w:szCs w:val="24"/>
                <w:vertAlign w:val="superscript"/>
              </w:rPr>
              <w:t>−1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4A515C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≥0</w:t>
            </w:r>
          </w:p>
        </w:tc>
      </w:tr>
      <w:tr w:rsidR="008944BF" w:rsidRPr="008944BF" w14:paraId="7CE08EE0" w14:textId="77777777" w:rsidTr="008944B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F2107C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α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F2351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Proportion of infections receiving effective treatment of blood stage parasites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AA8BBB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BF4C58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[0,1]</w:t>
            </w:r>
          </w:p>
        </w:tc>
      </w:tr>
      <w:tr w:rsidR="008944BF" w:rsidRPr="008944BF" w14:paraId="2A8F8046" w14:textId="77777777" w:rsidTr="008944B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D62F72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β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E6FCDC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Proportion of treated infections receiving effective radical cure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7F5299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9086C9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[0,1]</w:t>
            </w:r>
          </w:p>
        </w:tc>
      </w:tr>
      <w:tr w:rsidR="008944BF" w:rsidRPr="008944BF" w14:paraId="62B265DC" w14:textId="77777777" w:rsidTr="008944BF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38BA32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σ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4BF5EB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Inverse of the duration of infectivity for treated infections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6057A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time</w:t>
            </w:r>
            <w:r w:rsidRPr="008944BF">
              <w:rPr>
                <w:rFonts w:ascii="Georgia" w:hAnsi="Georgia"/>
                <w:color w:val="1F1F1F"/>
                <w:sz w:val="24"/>
                <w:szCs w:val="24"/>
                <w:vertAlign w:val="superscript"/>
              </w:rPr>
              <w:t>−1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ACC946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≥0</w:t>
            </w:r>
          </w:p>
        </w:tc>
      </w:tr>
      <w:tr w:rsidR="008944BF" w:rsidRPr="008944BF" w14:paraId="158BEACD" w14:textId="77777777" w:rsidTr="008944BF">
        <w:tc>
          <w:tcPr>
            <w:tcW w:w="0" w:type="auto"/>
            <w:tcBorders>
              <w:bottom w:val="single" w:sz="6" w:space="0" w:color="8E8E8E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A842F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ρ</w:t>
            </w:r>
          </w:p>
        </w:tc>
        <w:tc>
          <w:tcPr>
            <w:tcW w:w="0" w:type="auto"/>
            <w:tcBorders>
              <w:bottom w:val="single" w:sz="6" w:space="0" w:color="8E8E8E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DE20E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Observation rate (proportion of new infections that are effectively reported)</w:t>
            </w:r>
          </w:p>
        </w:tc>
        <w:tc>
          <w:tcPr>
            <w:tcW w:w="0" w:type="auto"/>
            <w:tcBorders>
              <w:bottom w:val="single" w:sz="6" w:space="0" w:color="8E8E8E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C60AFB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single" w:sz="6" w:space="0" w:color="8E8E8E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FF521" w14:textId="77777777" w:rsidR="008944BF" w:rsidRPr="008944BF" w:rsidRDefault="008944BF" w:rsidP="008944BF">
            <w:pPr>
              <w:rPr>
                <w:rFonts w:ascii="Georgia" w:hAnsi="Georgia"/>
                <w:color w:val="1F1F1F"/>
                <w:sz w:val="24"/>
                <w:szCs w:val="24"/>
              </w:rPr>
            </w:pPr>
            <w:r w:rsidRPr="008944BF">
              <w:rPr>
                <w:rFonts w:ascii="Georgia" w:hAnsi="Georgia"/>
                <w:color w:val="1F1F1F"/>
                <w:sz w:val="24"/>
                <w:szCs w:val="24"/>
              </w:rPr>
              <w:t>[0,1]</w:t>
            </w:r>
          </w:p>
        </w:tc>
      </w:tr>
    </w:tbl>
    <w:p w14:paraId="0E7FD9BB" w14:textId="77777777" w:rsidR="008944BF" w:rsidRPr="0060465F" w:rsidRDefault="008944BF" w:rsidP="008E1C68">
      <w:pPr>
        <w:rPr>
          <w:rFonts w:ascii="Georgia" w:hAnsi="Georgia"/>
          <w:color w:val="1F1F1F"/>
          <w:sz w:val="24"/>
          <w:szCs w:val="24"/>
        </w:rPr>
      </w:pPr>
    </w:p>
    <w:sectPr w:rsidR="008944BF" w:rsidRPr="00604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D3"/>
    <w:rsid w:val="00150EA5"/>
    <w:rsid w:val="003406D3"/>
    <w:rsid w:val="0060465F"/>
    <w:rsid w:val="006F2856"/>
    <w:rsid w:val="00791918"/>
    <w:rsid w:val="008944BF"/>
    <w:rsid w:val="008E1C68"/>
    <w:rsid w:val="009A7095"/>
    <w:rsid w:val="00A14314"/>
    <w:rsid w:val="00B2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9211"/>
  <w15:chartTrackingRefBased/>
  <w15:docId w15:val="{F88B4E08-89AB-4E8C-BD9B-BEBA0794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6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06D3"/>
    <w:rPr>
      <w:color w:val="808080"/>
    </w:rPr>
  </w:style>
  <w:style w:type="character" w:customStyle="1" w:styleId="mathjaxsvg">
    <w:name w:val="mathjax_svg"/>
    <w:basedOn w:val="DefaultParagraphFont"/>
    <w:rsid w:val="00791918"/>
  </w:style>
  <w:style w:type="character" w:customStyle="1" w:styleId="mjxassistivemathml">
    <w:name w:val="mjx_assistive_mathml"/>
    <w:basedOn w:val="DefaultParagraphFont"/>
    <w:rsid w:val="00791918"/>
  </w:style>
  <w:style w:type="character" w:styleId="CommentReference">
    <w:name w:val="annotation reference"/>
    <w:basedOn w:val="DefaultParagraphFont"/>
    <w:uiPriority w:val="99"/>
    <w:semiHidden/>
    <w:unhideWhenUsed/>
    <w:rsid w:val="006046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6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6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5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Githinji</dc:creator>
  <cp:keywords/>
  <dc:description/>
  <cp:lastModifiedBy>Geoffrey Githinji</cp:lastModifiedBy>
  <cp:revision>4</cp:revision>
  <dcterms:created xsi:type="dcterms:W3CDTF">2024-08-07T04:34:00Z</dcterms:created>
  <dcterms:modified xsi:type="dcterms:W3CDTF">2024-08-07T05:36:00Z</dcterms:modified>
</cp:coreProperties>
</file>