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9F135F" w14:textId="77777777" w:rsidR="009A42DC" w:rsidRDefault="009A42DC" w:rsidP="009A42DC">
      <w:pPr>
        <w:rPr>
          <w:rFonts w:ascii="Georgia" w:hAnsi="Georgia"/>
          <w:sz w:val="22"/>
          <w:szCs w:val="22"/>
        </w:rPr>
      </w:pPr>
      <w:r w:rsidRPr="005A45AE">
        <w:rPr>
          <w:rFonts w:ascii="Georgia" w:hAnsi="Georgia"/>
          <w:sz w:val="22"/>
          <w:szCs w:val="22"/>
        </w:rPr>
        <w:t>Bycatch</w:t>
      </w:r>
      <w:r>
        <w:rPr>
          <w:rFonts w:ascii="Georgia" w:hAnsi="Georgia"/>
          <w:sz w:val="22"/>
          <w:szCs w:val="22"/>
        </w:rPr>
        <w:t xml:space="preserve"> </w:t>
      </w:r>
      <w:r w:rsidRPr="005A45AE">
        <w:rPr>
          <w:rFonts w:ascii="Georgia" w:hAnsi="Georgia"/>
          <w:sz w:val="22"/>
          <w:szCs w:val="22"/>
        </w:rPr>
        <w:t>—</w:t>
      </w:r>
      <w:r>
        <w:rPr>
          <w:rFonts w:ascii="Georgia" w:hAnsi="Georgia"/>
          <w:sz w:val="22"/>
          <w:szCs w:val="22"/>
        </w:rPr>
        <w:t xml:space="preserve"> </w:t>
      </w:r>
      <w:r w:rsidRPr="005A45AE">
        <w:rPr>
          <w:rFonts w:ascii="Georgia" w:hAnsi="Georgia"/>
          <w:sz w:val="22"/>
          <w:szCs w:val="22"/>
        </w:rPr>
        <w:t>the capture of non-target organisms</w:t>
      </w:r>
      <w:r>
        <w:rPr>
          <w:rFonts w:ascii="Georgia" w:hAnsi="Georgia"/>
          <w:sz w:val="22"/>
          <w:szCs w:val="22"/>
        </w:rPr>
        <w:t xml:space="preserve"> </w:t>
      </w:r>
      <w:r w:rsidRPr="005A45AE">
        <w:rPr>
          <w:rFonts w:ascii="Georgia" w:hAnsi="Georgia"/>
          <w:sz w:val="22"/>
          <w:szCs w:val="22"/>
        </w:rPr>
        <w:t>—</w:t>
      </w:r>
      <w:r>
        <w:rPr>
          <w:rFonts w:ascii="Georgia" w:hAnsi="Georgia"/>
          <w:sz w:val="22"/>
          <w:szCs w:val="22"/>
        </w:rPr>
        <w:t xml:space="preserve"> </w:t>
      </w:r>
      <w:r w:rsidRPr="005A45AE">
        <w:rPr>
          <w:rFonts w:ascii="Georgia" w:hAnsi="Georgia"/>
          <w:sz w:val="22"/>
          <w:szCs w:val="22"/>
        </w:rPr>
        <w:t>is a persistent issue in many fisheries (Davies, 2009; Hall, 2000).</w:t>
      </w:r>
      <w:r>
        <w:rPr>
          <w:rFonts w:ascii="Georgia" w:hAnsi="Georgia"/>
          <w:sz w:val="22"/>
          <w:szCs w:val="22"/>
        </w:rPr>
        <w:t xml:space="preserve"> </w:t>
      </w:r>
      <w:r w:rsidRPr="005A45AE">
        <w:rPr>
          <w:rFonts w:ascii="Georgia" w:hAnsi="Georgia"/>
          <w:sz w:val="22"/>
          <w:szCs w:val="22"/>
        </w:rPr>
        <w:t xml:space="preserve">While it first gained public attention </w:t>
      </w:r>
      <w:r>
        <w:rPr>
          <w:rFonts w:ascii="Georgia" w:hAnsi="Georgia"/>
          <w:sz w:val="22"/>
          <w:szCs w:val="22"/>
        </w:rPr>
        <w:t>through</w:t>
      </w:r>
      <w:r w:rsidRPr="005A45AE">
        <w:rPr>
          <w:rFonts w:ascii="Georgia" w:hAnsi="Georgia"/>
          <w:sz w:val="22"/>
          <w:szCs w:val="22"/>
        </w:rPr>
        <w:t xml:space="preserve"> incidental take of charismatic megafauna (Hall, 2000), subsequent research has illuminated a range of concerns. These include the waste of edible protein (Hall, 2000; Zeller., 2018), conflicts between fisheries targeting different species (Lomeli, 2021; NPFMC, 2022), increased extinction risk for vulnerable species (Wallace, 2013) (</w:t>
      </w:r>
      <w:proofErr w:type="spellStart"/>
      <w:r w:rsidRPr="005A45AE">
        <w:rPr>
          <w:rFonts w:ascii="Georgia" w:hAnsi="Georgia"/>
          <w:sz w:val="22"/>
          <w:szCs w:val="22"/>
        </w:rPr>
        <w:t>D’Agrosa</w:t>
      </w:r>
      <w:proofErr w:type="spellEnd"/>
      <w:r w:rsidRPr="005A45AE">
        <w:rPr>
          <w:rFonts w:ascii="Georgia" w:hAnsi="Georgia"/>
          <w:sz w:val="22"/>
          <w:szCs w:val="22"/>
        </w:rPr>
        <w:t>, 2000), trophic disruption (Estes., 2011), and destabilization of population dynamics (Hall, 2000). As a result, considerable attention has been directed toward reducing bycatc</w:t>
      </w:r>
      <w:r>
        <w:rPr>
          <w:rFonts w:ascii="Georgia" w:hAnsi="Georgia"/>
          <w:sz w:val="22"/>
          <w:szCs w:val="22"/>
        </w:rPr>
        <w:t>h</w:t>
      </w:r>
      <w:r w:rsidRPr="005A45AE">
        <w:rPr>
          <w:rFonts w:ascii="Georgia" w:hAnsi="Georgia"/>
          <w:sz w:val="22"/>
          <w:szCs w:val="22"/>
        </w:rPr>
        <w:t>.</w:t>
      </w:r>
      <w:r>
        <w:rPr>
          <w:rFonts w:ascii="Georgia" w:hAnsi="Georgia"/>
          <w:sz w:val="22"/>
          <w:szCs w:val="22"/>
        </w:rPr>
        <w:t xml:space="preserve"> </w:t>
      </w:r>
    </w:p>
    <w:p w14:paraId="44B712C8" w14:textId="77777777" w:rsidR="009A42DC" w:rsidRDefault="009A42DC" w:rsidP="009A42DC">
      <w:pPr>
        <w:rPr>
          <w:rFonts w:ascii="Georgia" w:hAnsi="Georgia"/>
          <w:sz w:val="22"/>
          <w:szCs w:val="22"/>
        </w:rPr>
      </w:pPr>
    </w:p>
    <w:p w14:paraId="3E585275" w14:textId="21C80D76" w:rsidR="009A42DC" w:rsidRDefault="009A42DC" w:rsidP="009A42DC">
      <w:pPr>
        <w:rPr>
          <w:rFonts w:ascii="Georgia" w:hAnsi="Georgia"/>
          <w:sz w:val="22"/>
          <w:szCs w:val="22"/>
        </w:rPr>
      </w:pPr>
      <w:r>
        <w:rPr>
          <w:rFonts w:ascii="Georgia" w:hAnsi="Georgia"/>
          <w:sz w:val="22"/>
          <w:szCs w:val="22"/>
        </w:rPr>
        <w:t>Of particular concern in the state of Alaska is the incidental capture of Chinook salmon (</w:t>
      </w:r>
      <w:r w:rsidRPr="006E428F">
        <w:rPr>
          <w:rFonts w:ascii="Georgia" w:hAnsi="Georgia"/>
          <w:i/>
          <w:iCs/>
          <w:sz w:val="22"/>
          <w:szCs w:val="22"/>
        </w:rPr>
        <w:t>Oncorhynchus tshawytscha</w:t>
      </w:r>
      <w:r>
        <w:rPr>
          <w:rFonts w:ascii="Georgia" w:hAnsi="Georgia"/>
          <w:sz w:val="22"/>
          <w:szCs w:val="22"/>
        </w:rPr>
        <w:t xml:space="preserve">) in the </w:t>
      </w:r>
      <w:del w:id="0" w:author="Seitz" w:date="2025-04-28T17:26:00Z">
        <w:r w:rsidDel="0014349E">
          <w:rPr>
            <w:rFonts w:ascii="Georgia" w:hAnsi="Georgia"/>
            <w:sz w:val="22"/>
            <w:szCs w:val="22"/>
          </w:rPr>
          <w:delText xml:space="preserve">Walleye </w:delText>
        </w:r>
      </w:del>
      <w:ins w:id="1" w:author="Seitz" w:date="2025-04-28T17:26:00Z">
        <w:r w:rsidR="0014349E">
          <w:rPr>
            <w:rFonts w:ascii="Georgia" w:hAnsi="Georgia"/>
            <w:sz w:val="22"/>
            <w:szCs w:val="22"/>
          </w:rPr>
          <w:t xml:space="preserve">walleye </w:t>
        </w:r>
      </w:ins>
      <w:proofErr w:type="spellStart"/>
      <w:r>
        <w:rPr>
          <w:rFonts w:ascii="Georgia" w:hAnsi="Georgia"/>
          <w:sz w:val="22"/>
          <w:szCs w:val="22"/>
        </w:rPr>
        <w:t>pollock</w:t>
      </w:r>
      <w:proofErr w:type="spellEnd"/>
      <w:r>
        <w:rPr>
          <w:rFonts w:ascii="Georgia" w:hAnsi="Georgia"/>
          <w:sz w:val="22"/>
          <w:szCs w:val="22"/>
        </w:rPr>
        <w:t xml:space="preserve"> (</w:t>
      </w:r>
      <w:proofErr w:type="spellStart"/>
      <w:r w:rsidRPr="006E428F">
        <w:rPr>
          <w:rFonts w:ascii="Georgia" w:hAnsi="Georgia"/>
          <w:i/>
          <w:iCs/>
          <w:sz w:val="22"/>
          <w:szCs w:val="22"/>
        </w:rPr>
        <w:t>Gadus</w:t>
      </w:r>
      <w:proofErr w:type="spellEnd"/>
      <w:r w:rsidRPr="006E428F">
        <w:rPr>
          <w:rFonts w:ascii="Georgia" w:hAnsi="Georgia"/>
          <w:i/>
          <w:iCs/>
          <w:sz w:val="22"/>
          <w:szCs w:val="22"/>
        </w:rPr>
        <w:t xml:space="preserve"> </w:t>
      </w:r>
      <w:proofErr w:type="spellStart"/>
      <w:r w:rsidRPr="006E428F">
        <w:rPr>
          <w:rFonts w:ascii="Georgia" w:hAnsi="Georgia"/>
          <w:i/>
          <w:iCs/>
          <w:sz w:val="22"/>
          <w:szCs w:val="22"/>
        </w:rPr>
        <w:t>chalcogrammus</w:t>
      </w:r>
      <w:proofErr w:type="spellEnd"/>
      <w:r>
        <w:rPr>
          <w:rFonts w:ascii="Georgia" w:hAnsi="Georgia"/>
          <w:sz w:val="22"/>
          <w:szCs w:val="22"/>
        </w:rPr>
        <w:t xml:space="preserve">) fishery </w:t>
      </w:r>
      <w:r w:rsidRPr="00047F35">
        <w:rPr>
          <w:rFonts w:ascii="Georgia" w:hAnsi="Georgia"/>
          <w:sz w:val="22"/>
          <w:szCs w:val="22"/>
        </w:rPr>
        <w:t>(NPFMC, 2022).</w:t>
      </w:r>
      <w:r>
        <w:rPr>
          <w:rFonts w:ascii="Georgia" w:hAnsi="Georgia"/>
          <w:sz w:val="22"/>
          <w:szCs w:val="22"/>
        </w:rPr>
        <w:t xml:space="preserve"> The pollock fishery</w:t>
      </w:r>
      <w:r w:rsidRPr="00047F35">
        <w:rPr>
          <w:rFonts w:ascii="Georgia" w:hAnsi="Georgia"/>
          <w:sz w:val="22"/>
          <w:szCs w:val="22"/>
        </w:rPr>
        <w:t xml:space="preserve"> is the largest in the United States by volume (NPFMC, 2022)</w:t>
      </w:r>
      <w:r>
        <w:rPr>
          <w:rFonts w:ascii="Georgia" w:hAnsi="Georgia"/>
          <w:sz w:val="22"/>
          <w:szCs w:val="22"/>
        </w:rPr>
        <w:t xml:space="preserve">. The retained </w:t>
      </w:r>
      <w:r w:rsidRPr="005A45AE">
        <w:rPr>
          <w:rFonts w:ascii="Georgia" w:hAnsi="Georgia"/>
          <w:sz w:val="22"/>
          <w:szCs w:val="22"/>
        </w:rPr>
        <w:t>2020</w:t>
      </w:r>
      <w:r>
        <w:rPr>
          <w:rFonts w:ascii="Georgia" w:hAnsi="Georgia"/>
          <w:sz w:val="22"/>
          <w:szCs w:val="22"/>
        </w:rPr>
        <w:t xml:space="preserve"> pollock catch in just the Gulf of Alaska (GOA)</w:t>
      </w:r>
      <w:r w:rsidRPr="00047F35">
        <w:rPr>
          <w:rFonts w:ascii="Georgia" w:hAnsi="Georgia"/>
          <w:sz w:val="22"/>
          <w:szCs w:val="22"/>
        </w:rPr>
        <w:t xml:space="preserve"> </w:t>
      </w:r>
      <w:r w:rsidRPr="005A45AE">
        <w:rPr>
          <w:rFonts w:ascii="Georgia" w:hAnsi="Georgia"/>
          <w:sz w:val="22"/>
          <w:szCs w:val="22"/>
        </w:rPr>
        <w:t>total</w:t>
      </w:r>
      <w:r>
        <w:rPr>
          <w:rFonts w:ascii="Georgia" w:hAnsi="Georgia"/>
          <w:sz w:val="22"/>
          <w:szCs w:val="22"/>
        </w:rPr>
        <w:t>ed</w:t>
      </w:r>
      <w:r w:rsidRPr="005A45AE">
        <w:rPr>
          <w:rFonts w:ascii="Georgia" w:hAnsi="Georgia"/>
          <w:sz w:val="22"/>
          <w:szCs w:val="22"/>
        </w:rPr>
        <w:t xml:space="preserve"> 107,000 metric tons</w:t>
      </w:r>
      <w:r>
        <w:rPr>
          <w:rFonts w:ascii="Georgia" w:hAnsi="Georgia"/>
          <w:sz w:val="22"/>
          <w:szCs w:val="22"/>
        </w:rPr>
        <w:t xml:space="preserve"> and had a first wholesale value </w:t>
      </w:r>
      <w:commentRangeStart w:id="2"/>
      <w:r>
        <w:rPr>
          <w:rFonts w:ascii="Georgia" w:hAnsi="Georgia"/>
          <w:sz w:val="22"/>
          <w:szCs w:val="22"/>
        </w:rPr>
        <w:t>of</w:t>
      </w:r>
      <w:r w:rsidRPr="005A45AE">
        <w:rPr>
          <w:rFonts w:ascii="Georgia" w:hAnsi="Georgia"/>
          <w:sz w:val="22"/>
          <w:szCs w:val="22"/>
        </w:rPr>
        <w:t xml:space="preserve"> $70.6 </w:t>
      </w:r>
      <w:commentRangeEnd w:id="2"/>
      <w:r w:rsidR="005476B2">
        <w:rPr>
          <w:rStyle w:val="CommentReference"/>
        </w:rPr>
        <w:commentReference w:id="2"/>
      </w:r>
      <w:r w:rsidRPr="005A45AE">
        <w:rPr>
          <w:rFonts w:ascii="Georgia" w:hAnsi="Georgia"/>
          <w:sz w:val="22"/>
          <w:szCs w:val="22"/>
        </w:rPr>
        <w:t>(</w:t>
      </w:r>
      <w:proofErr w:type="spellStart"/>
      <w:r w:rsidRPr="005A45AE">
        <w:rPr>
          <w:rFonts w:ascii="Georgia" w:hAnsi="Georgia"/>
          <w:sz w:val="22"/>
          <w:szCs w:val="22"/>
        </w:rPr>
        <w:t>Monnahan</w:t>
      </w:r>
      <w:proofErr w:type="spellEnd"/>
      <w:r w:rsidRPr="005A45AE">
        <w:rPr>
          <w:rFonts w:ascii="Georgia" w:hAnsi="Georgia"/>
          <w:sz w:val="22"/>
          <w:szCs w:val="22"/>
        </w:rPr>
        <w:t>, 2021).</w:t>
      </w:r>
      <w:r>
        <w:rPr>
          <w:rFonts w:ascii="Georgia" w:hAnsi="Georgia"/>
          <w:sz w:val="22"/>
          <w:szCs w:val="22"/>
        </w:rPr>
        <w:t xml:space="preserve"> Yet, regardless of the remaining allowable catch, the fishery is shut down if Chinook salmon bycatch allowances are exceeded (NPFMC, 2024). For the Gulf of Alaska these limits are set at </w:t>
      </w:r>
      <w:r w:rsidRPr="005A45AE">
        <w:rPr>
          <w:rFonts w:ascii="Georgia" w:hAnsi="Georgia"/>
          <w:sz w:val="22"/>
          <w:szCs w:val="22"/>
        </w:rPr>
        <w:t>18,316 fish for the Central GOA and 6,684 for the Western GOA, (Amendment 93) with limited provisions for reallocation of unused PSC between sectors (Amendment 103) (NPFMC, 2024).</w:t>
      </w:r>
      <w:r>
        <w:rPr>
          <w:rFonts w:ascii="Georgia" w:hAnsi="Georgia"/>
          <w:sz w:val="22"/>
          <w:szCs w:val="22"/>
        </w:rPr>
        <w:t xml:space="preserve"> With such limited allowances, bycatch avoidance has been an area of active development</w:t>
      </w:r>
      <w:commentRangeStart w:id="3"/>
      <w:r>
        <w:rPr>
          <w:rFonts w:ascii="Georgia" w:hAnsi="Georgia"/>
          <w:sz w:val="22"/>
          <w:szCs w:val="22"/>
        </w:rPr>
        <w:t xml:space="preserve">. </w:t>
      </w:r>
      <w:commentRangeEnd w:id="3"/>
      <w:r w:rsidR="0014349E">
        <w:rPr>
          <w:rStyle w:val="CommentReference"/>
        </w:rPr>
        <w:commentReference w:id="3"/>
      </w:r>
    </w:p>
    <w:p w14:paraId="5D601723" w14:textId="77777777" w:rsidR="009A42DC" w:rsidRDefault="009A42DC" w:rsidP="009A42DC">
      <w:pPr>
        <w:rPr>
          <w:rFonts w:ascii="Georgia" w:hAnsi="Georgia"/>
          <w:sz w:val="22"/>
          <w:szCs w:val="22"/>
        </w:rPr>
      </w:pPr>
    </w:p>
    <w:p w14:paraId="4A64823D" w14:textId="77777777" w:rsidR="009A42DC" w:rsidRDefault="009A42DC" w:rsidP="009A42DC">
      <w:pPr>
        <w:rPr>
          <w:rFonts w:ascii="Georgia" w:hAnsi="Georgia"/>
          <w:sz w:val="22"/>
          <w:szCs w:val="22"/>
        </w:rPr>
      </w:pPr>
      <w:r>
        <w:rPr>
          <w:rFonts w:ascii="Georgia" w:hAnsi="Georgia"/>
          <w:sz w:val="22"/>
          <w:szCs w:val="22"/>
        </w:rPr>
        <w:t xml:space="preserve">Of those developments, one of the most promising has been cooperative data-sharing amongst fishers </w:t>
      </w:r>
      <w:r w:rsidRPr="00047F35">
        <w:rPr>
          <w:rFonts w:ascii="Georgia" w:hAnsi="Georgia"/>
          <w:sz w:val="22"/>
          <w:szCs w:val="22"/>
        </w:rPr>
        <w:t>(NPMFC, 2022).</w:t>
      </w:r>
      <w:r>
        <w:rPr>
          <w:rFonts w:ascii="Georgia" w:hAnsi="Georgia"/>
          <w:sz w:val="22"/>
          <w:szCs w:val="22"/>
        </w:rPr>
        <w:t xml:space="preserve"> </w:t>
      </w:r>
      <w:commentRangeStart w:id="4"/>
      <w:r>
        <w:rPr>
          <w:rFonts w:ascii="Georgia" w:hAnsi="Georgia"/>
          <w:sz w:val="22"/>
          <w:szCs w:val="22"/>
        </w:rPr>
        <w:t>Through</w:t>
      </w:r>
      <w:commentRangeEnd w:id="4"/>
      <w:r w:rsidR="00152D23">
        <w:rPr>
          <w:rStyle w:val="CommentReference"/>
        </w:rPr>
        <w:commentReference w:id="4"/>
      </w:r>
      <w:r>
        <w:rPr>
          <w:rFonts w:ascii="Georgia" w:hAnsi="Georgia"/>
          <w:sz w:val="22"/>
          <w:szCs w:val="22"/>
        </w:rPr>
        <w:t xml:space="preserve"> such programs fishers can dynamically adjust their response to bycatch risk based on up-to-date information shared through the whole fleet. This information is also used to setup </w:t>
      </w:r>
      <w:r w:rsidRPr="00047F35">
        <w:rPr>
          <w:rFonts w:ascii="Georgia" w:hAnsi="Georgia"/>
          <w:sz w:val="22"/>
          <w:szCs w:val="22"/>
        </w:rPr>
        <w:t>short-term closures in high-bycatch zones</w:t>
      </w:r>
      <w:r>
        <w:rPr>
          <w:rFonts w:ascii="Georgia" w:hAnsi="Georgia"/>
          <w:sz w:val="22"/>
          <w:szCs w:val="22"/>
        </w:rPr>
        <w:t xml:space="preserve"> </w:t>
      </w:r>
      <w:r w:rsidRPr="00047F35">
        <w:rPr>
          <w:rFonts w:ascii="Georgia" w:hAnsi="Georgia"/>
          <w:sz w:val="22"/>
          <w:szCs w:val="22"/>
        </w:rPr>
        <w:t>(NPFMC, 2022)</w:t>
      </w:r>
      <w:r>
        <w:rPr>
          <w:rFonts w:ascii="Georgia" w:hAnsi="Georgia"/>
          <w:sz w:val="22"/>
          <w:szCs w:val="22"/>
        </w:rPr>
        <w:t xml:space="preserve"> – </w:t>
      </w:r>
      <w:commentRangeStart w:id="5"/>
      <w:r>
        <w:rPr>
          <w:rFonts w:ascii="Georgia" w:hAnsi="Georgia"/>
          <w:sz w:val="22"/>
          <w:szCs w:val="22"/>
        </w:rPr>
        <w:t xml:space="preserve">yet another tool in the </w:t>
      </w:r>
      <w:r w:rsidRPr="005A45AE">
        <w:rPr>
          <w:rFonts w:ascii="Georgia" w:hAnsi="Georgia"/>
          <w:sz w:val="22"/>
          <w:szCs w:val="22"/>
        </w:rPr>
        <w:t xml:space="preserve">dynamic ocean management </w:t>
      </w:r>
      <w:r>
        <w:rPr>
          <w:rFonts w:ascii="Georgia" w:hAnsi="Georgia"/>
          <w:sz w:val="22"/>
          <w:szCs w:val="22"/>
        </w:rPr>
        <w:t>toolbox</w:t>
      </w:r>
      <w:r w:rsidRPr="005A45AE">
        <w:rPr>
          <w:rFonts w:ascii="Georgia" w:hAnsi="Georgia"/>
          <w:sz w:val="22"/>
          <w:szCs w:val="22"/>
        </w:rPr>
        <w:t xml:space="preserve"> </w:t>
      </w:r>
      <w:r>
        <w:rPr>
          <w:rFonts w:ascii="Georgia" w:hAnsi="Georgia"/>
          <w:sz w:val="22"/>
          <w:szCs w:val="22"/>
        </w:rPr>
        <w:t xml:space="preserve">that draws its power from near real-time, local information on bycatch risk (Squires, 2021). </w:t>
      </w:r>
      <w:commentRangeEnd w:id="5"/>
      <w:r w:rsidR="00152D23">
        <w:rPr>
          <w:rStyle w:val="CommentReference"/>
        </w:rPr>
        <w:commentReference w:id="5"/>
      </w:r>
    </w:p>
    <w:p w14:paraId="0CE546EA" w14:textId="77777777" w:rsidR="009A42DC" w:rsidRDefault="009A42DC" w:rsidP="009A42DC">
      <w:pPr>
        <w:rPr>
          <w:rFonts w:ascii="Georgia" w:hAnsi="Georgia"/>
          <w:sz w:val="22"/>
          <w:szCs w:val="22"/>
        </w:rPr>
      </w:pPr>
    </w:p>
    <w:p w14:paraId="52DE2FEF" w14:textId="0AD1A5B8" w:rsidR="009A42DC" w:rsidRDefault="009A42DC" w:rsidP="009A42DC">
      <w:pPr>
        <w:rPr>
          <w:rFonts w:ascii="Georgia" w:hAnsi="Georgia"/>
          <w:sz w:val="22"/>
          <w:szCs w:val="22"/>
        </w:rPr>
      </w:pPr>
      <w:r>
        <w:rPr>
          <w:rFonts w:ascii="Georgia" w:hAnsi="Georgia"/>
          <w:sz w:val="22"/>
          <w:szCs w:val="22"/>
        </w:rPr>
        <w:t xml:space="preserve">Adding information on depth occupancy to this toolbox could prove fruitful. Adult </w:t>
      </w:r>
      <w:commentRangeStart w:id="6"/>
      <w:proofErr w:type="spellStart"/>
      <w:r>
        <w:rPr>
          <w:rFonts w:ascii="Georgia" w:hAnsi="Georgia"/>
          <w:sz w:val="22"/>
          <w:szCs w:val="22"/>
        </w:rPr>
        <w:t>pollock</w:t>
      </w:r>
      <w:commentRangeEnd w:id="6"/>
      <w:proofErr w:type="spellEnd"/>
      <w:r w:rsidR="0014349E">
        <w:rPr>
          <w:rStyle w:val="CommentReference"/>
        </w:rPr>
        <w:commentReference w:id="6"/>
      </w:r>
      <w:r>
        <w:rPr>
          <w:rFonts w:ascii="Georgia" w:hAnsi="Georgia"/>
          <w:sz w:val="22"/>
          <w:szCs w:val="22"/>
        </w:rPr>
        <w:t xml:space="preserve"> are largely demersal (Adams, 2009) (Duffy-Anderson, 2003) whereas Chinook salmon are very active in the water column </w:t>
      </w:r>
      <w:r w:rsidRPr="000B7171">
        <w:rPr>
          <w:rFonts w:ascii="Georgia" w:hAnsi="Georgia"/>
          <w:sz w:val="22"/>
          <w:szCs w:val="22"/>
        </w:rPr>
        <w:t>(Courtney, 2019, 2021)</w:t>
      </w:r>
      <w:r>
        <w:rPr>
          <w:rFonts w:ascii="Georgia" w:hAnsi="Georgia"/>
          <w:sz w:val="22"/>
          <w:szCs w:val="22"/>
        </w:rPr>
        <w:t xml:space="preserve"> (Orsi, 1995). While Chinook salmon spend most of their time</w:t>
      </w:r>
      <w:r w:rsidRPr="000B7171">
        <w:rPr>
          <w:rFonts w:ascii="Georgia" w:hAnsi="Georgia"/>
          <w:sz w:val="22"/>
          <w:szCs w:val="22"/>
        </w:rPr>
        <w:t xml:space="preserve"> </w:t>
      </w:r>
      <w:r>
        <w:rPr>
          <w:rFonts w:ascii="Georgia" w:hAnsi="Georgia"/>
          <w:sz w:val="22"/>
          <w:szCs w:val="22"/>
        </w:rPr>
        <w:t>between</w:t>
      </w:r>
      <w:r w:rsidRPr="000B7171">
        <w:rPr>
          <w:rFonts w:ascii="Georgia" w:hAnsi="Georgia"/>
          <w:sz w:val="22"/>
          <w:szCs w:val="22"/>
        </w:rPr>
        <w:t xml:space="preserve"> 0 and 50</w:t>
      </w:r>
      <w:ins w:id="7" w:author="Seitz" w:date="2025-04-28T17:30:00Z">
        <w:r w:rsidR="0014349E">
          <w:rPr>
            <w:rFonts w:ascii="Georgia" w:hAnsi="Georgia"/>
            <w:sz w:val="22"/>
            <w:szCs w:val="22"/>
          </w:rPr>
          <w:t xml:space="preserve"> </w:t>
        </w:r>
      </w:ins>
      <w:r w:rsidRPr="000B7171">
        <w:rPr>
          <w:rFonts w:ascii="Georgia" w:hAnsi="Georgia"/>
          <w:sz w:val="22"/>
          <w:szCs w:val="22"/>
        </w:rPr>
        <w:t>m</w:t>
      </w:r>
      <w:r>
        <w:rPr>
          <w:rFonts w:ascii="Georgia" w:hAnsi="Georgia"/>
          <w:sz w:val="22"/>
          <w:szCs w:val="22"/>
        </w:rPr>
        <w:t xml:space="preserve"> their overall observed range extends beyond 500</w:t>
      </w:r>
      <w:ins w:id="8" w:author="Seitz" w:date="2025-04-28T17:30:00Z">
        <w:r w:rsidR="0014349E">
          <w:rPr>
            <w:rFonts w:ascii="Georgia" w:hAnsi="Georgia"/>
            <w:sz w:val="22"/>
            <w:szCs w:val="22"/>
          </w:rPr>
          <w:t xml:space="preserve"> </w:t>
        </w:r>
      </w:ins>
      <w:r>
        <w:rPr>
          <w:rFonts w:ascii="Georgia" w:hAnsi="Georgia"/>
          <w:sz w:val="22"/>
          <w:szCs w:val="22"/>
        </w:rPr>
        <w:t xml:space="preserve">m </w:t>
      </w:r>
      <w:r w:rsidRPr="000B7171">
        <w:rPr>
          <w:rFonts w:ascii="Georgia" w:hAnsi="Georgia"/>
          <w:sz w:val="22"/>
          <w:szCs w:val="22"/>
        </w:rPr>
        <w:t>(Courtney, 2019, 2021)</w:t>
      </w:r>
      <w:r>
        <w:rPr>
          <w:rFonts w:ascii="Georgia" w:hAnsi="Georgia"/>
          <w:sz w:val="22"/>
          <w:szCs w:val="22"/>
        </w:rPr>
        <w:t>. They also</w:t>
      </w:r>
      <w:r w:rsidRPr="000B7171">
        <w:rPr>
          <w:rFonts w:ascii="Georgia" w:hAnsi="Georgia"/>
          <w:sz w:val="22"/>
          <w:szCs w:val="22"/>
        </w:rPr>
        <w:t xml:space="preserve"> display flexible diel behaviors, </w:t>
      </w:r>
      <w:r>
        <w:rPr>
          <w:rFonts w:ascii="Georgia" w:hAnsi="Georgia"/>
          <w:sz w:val="22"/>
          <w:szCs w:val="22"/>
        </w:rPr>
        <w:t>sometimes</w:t>
      </w:r>
      <w:r w:rsidRPr="000B7171">
        <w:rPr>
          <w:rFonts w:ascii="Georgia" w:hAnsi="Georgia"/>
          <w:sz w:val="22"/>
          <w:szCs w:val="22"/>
        </w:rPr>
        <w:t xml:space="preserve"> revers</w:t>
      </w:r>
      <w:r>
        <w:rPr>
          <w:rFonts w:ascii="Georgia" w:hAnsi="Georgia"/>
          <w:sz w:val="22"/>
          <w:szCs w:val="22"/>
        </w:rPr>
        <w:t>e</w:t>
      </w:r>
      <w:r w:rsidRPr="000B7171">
        <w:rPr>
          <w:rFonts w:ascii="Georgia" w:hAnsi="Georgia"/>
          <w:sz w:val="22"/>
          <w:szCs w:val="22"/>
        </w:rPr>
        <w:t xml:space="preserve"> their movement patterns seasonally (Arostegui, 2017)</w:t>
      </w:r>
      <w:r>
        <w:rPr>
          <w:rFonts w:ascii="Georgia" w:hAnsi="Georgia"/>
          <w:sz w:val="22"/>
          <w:szCs w:val="22"/>
        </w:rPr>
        <w:t xml:space="preserve"> </w:t>
      </w:r>
      <w:r w:rsidRPr="000B7171">
        <w:rPr>
          <w:rFonts w:ascii="Georgia" w:hAnsi="Georgia"/>
          <w:sz w:val="22"/>
          <w:szCs w:val="22"/>
        </w:rPr>
        <w:t>(Courtney, 2019, 2021)</w:t>
      </w:r>
      <w:r>
        <w:rPr>
          <w:rFonts w:ascii="Georgia" w:hAnsi="Georgia"/>
          <w:sz w:val="22"/>
          <w:szCs w:val="22"/>
        </w:rPr>
        <w:t xml:space="preserve">, and seem to vary their depth occupancy in relation to </w:t>
      </w:r>
      <w:r w:rsidRPr="000B7171">
        <w:rPr>
          <w:rFonts w:ascii="Georgia" w:hAnsi="Georgia"/>
          <w:sz w:val="22"/>
          <w:szCs w:val="22"/>
        </w:rPr>
        <w:t>temperature, productivity indicators, and current velocity (Freshwater, 2024) (Orsi, 1995)</w:t>
      </w:r>
      <w:r>
        <w:rPr>
          <w:rFonts w:ascii="Georgia" w:hAnsi="Georgia"/>
          <w:sz w:val="22"/>
          <w:szCs w:val="22"/>
        </w:rPr>
        <w:t xml:space="preserve"> (Hinke, 2005)</w:t>
      </w:r>
      <w:r w:rsidRPr="000B7171">
        <w:rPr>
          <w:rFonts w:ascii="Georgia" w:hAnsi="Georgia"/>
          <w:sz w:val="22"/>
          <w:szCs w:val="22"/>
        </w:rPr>
        <w:t>.</w:t>
      </w:r>
      <w:r>
        <w:rPr>
          <w:rFonts w:ascii="Georgia" w:hAnsi="Georgia"/>
          <w:sz w:val="22"/>
          <w:szCs w:val="22"/>
        </w:rPr>
        <w:t xml:space="preserve"> In contrast, while </w:t>
      </w:r>
      <w:proofErr w:type="spellStart"/>
      <w:r>
        <w:rPr>
          <w:rFonts w:ascii="Georgia" w:hAnsi="Georgia"/>
          <w:sz w:val="22"/>
          <w:szCs w:val="22"/>
        </w:rPr>
        <w:t>pollock</w:t>
      </w:r>
      <w:proofErr w:type="spellEnd"/>
      <w:r>
        <w:rPr>
          <w:rFonts w:ascii="Georgia" w:hAnsi="Georgia"/>
          <w:sz w:val="22"/>
          <w:szCs w:val="22"/>
        </w:rPr>
        <w:t xml:space="preserve"> </w:t>
      </w:r>
      <w:ins w:id="9" w:author="Seitz" w:date="2025-04-28T17:31:00Z">
        <w:r w:rsidR="0014349E">
          <w:rPr>
            <w:rFonts w:ascii="Georgia" w:hAnsi="Georgia"/>
            <w:sz w:val="22"/>
            <w:szCs w:val="22"/>
          </w:rPr>
          <w:t xml:space="preserve">are known to </w:t>
        </w:r>
      </w:ins>
      <w:r>
        <w:rPr>
          <w:rFonts w:ascii="Georgia" w:hAnsi="Georgia"/>
          <w:sz w:val="22"/>
          <w:szCs w:val="22"/>
        </w:rPr>
        <w:t>exhibit</w:t>
      </w:r>
      <w:del w:id="10" w:author="Seitz" w:date="2025-04-28T17:31:00Z">
        <w:r w:rsidDel="0014349E">
          <w:rPr>
            <w:rFonts w:ascii="Georgia" w:hAnsi="Georgia"/>
            <w:sz w:val="22"/>
            <w:szCs w:val="22"/>
          </w:rPr>
          <w:delText>ing</w:delText>
        </w:r>
      </w:del>
      <w:r>
        <w:rPr>
          <w:rFonts w:ascii="Georgia" w:hAnsi="Georgia"/>
          <w:sz w:val="22"/>
          <w:szCs w:val="22"/>
        </w:rPr>
        <w:t xml:space="preserve"> diel patterns</w:t>
      </w:r>
      <w:ins w:id="11" w:author="Seitz" w:date="2025-04-28T17:31:00Z">
        <w:r w:rsidR="0014349E">
          <w:rPr>
            <w:rFonts w:ascii="Georgia" w:hAnsi="Georgia"/>
            <w:sz w:val="22"/>
            <w:szCs w:val="22"/>
          </w:rPr>
          <w:t>,</w:t>
        </w:r>
      </w:ins>
      <w:del w:id="12" w:author="Seitz" w:date="2025-04-28T17:31:00Z">
        <w:r w:rsidDel="0014349E">
          <w:rPr>
            <w:rFonts w:ascii="Georgia" w:hAnsi="Georgia"/>
            <w:sz w:val="22"/>
            <w:szCs w:val="22"/>
          </w:rPr>
          <w:delText xml:space="preserve"> have been observed</w:delText>
        </w:r>
      </w:del>
      <w:r>
        <w:rPr>
          <w:rFonts w:ascii="Georgia" w:hAnsi="Georgia"/>
          <w:sz w:val="22"/>
          <w:szCs w:val="22"/>
        </w:rPr>
        <w:t xml:space="preserve"> (Adams, 2009) (Miyashita, 2004) the majority of </w:t>
      </w:r>
      <w:commentRangeStart w:id="13"/>
      <w:r>
        <w:rPr>
          <w:rFonts w:ascii="Georgia" w:hAnsi="Georgia"/>
          <w:sz w:val="22"/>
          <w:szCs w:val="22"/>
        </w:rPr>
        <w:t xml:space="preserve">adult </w:t>
      </w:r>
      <w:proofErr w:type="spellStart"/>
      <w:r>
        <w:rPr>
          <w:rFonts w:ascii="Georgia" w:hAnsi="Georgia"/>
          <w:sz w:val="22"/>
          <w:szCs w:val="22"/>
        </w:rPr>
        <w:t>pollock</w:t>
      </w:r>
      <w:proofErr w:type="spellEnd"/>
      <w:r>
        <w:rPr>
          <w:rFonts w:ascii="Georgia" w:hAnsi="Georgia"/>
          <w:sz w:val="22"/>
          <w:szCs w:val="22"/>
        </w:rPr>
        <w:t xml:space="preserve"> </w:t>
      </w:r>
      <w:commentRangeEnd w:id="13"/>
      <w:r w:rsidR="0014349E">
        <w:rPr>
          <w:rStyle w:val="CommentReference"/>
        </w:rPr>
        <w:commentReference w:id="13"/>
      </w:r>
      <w:r>
        <w:rPr>
          <w:rFonts w:ascii="Georgia" w:hAnsi="Georgia"/>
          <w:sz w:val="22"/>
          <w:szCs w:val="22"/>
        </w:rPr>
        <w:t xml:space="preserve">are </w:t>
      </w:r>
      <w:ins w:id="14" w:author="Seitz" w:date="2025-04-28T17:31:00Z">
        <w:r w:rsidR="0014349E">
          <w:rPr>
            <w:rFonts w:ascii="Georgia" w:hAnsi="Georgia"/>
            <w:sz w:val="22"/>
            <w:szCs w:val="22"/>
          </w:rPr>
          <w:t xml:space="preserve">primarily </w:t>
        </w:r>
      </w:ins>
      <w:r>
        <w:rPr>
          <w:rFonts w:ascii="Georgia" w:hAnsi="Georgia"/>
          <w:sz w:val="22"/>
          <w:szCs w:val="22"/>
        </w:rPr>
        <w:t>demersal – a pattern reinforced by the fact that the fishery targets them at or near the sea floor (Stratton, 2023). These differences suggest that bycatch risk could be further mitigated if localized and dynamic information on Chinook salmon depth occupancy was available.</w:t>
      </w:r>
    </w:p>
    <w:p w14:paraId="30E1D51E" w14:textId="77777777" w:rsidR="009A42DC" w:rsidRDefault="009A42DC" w:rsidP="009A42DC">
      <w:pPr>
        <w:rPr>
          <w:rFonts w:ascii="Georgia" w:hAnsi="Georgia"/>
          <w:sz w:val="22"/>
          <w:szCs w:val="22"/>
        </w:rPr>
      </w:pPr>
    </w:p>
    <w:p w14:paraId="62B9ABF3" w14:textId="57B25D9D" w:rsidR="009A42DC" w:rsidRDefault="009A42DC" w:rsidP="009A42DC">
      <w:pPr>
        <w:rPr>
          <w:rFonts w:ascii="Georgia" w:hAnsi="Georgia"/>
          <w:sz w:val="22"/>
          <w:szCs w:val="22"/>
        </w:rPr>
      </w:pPr>
      <w:r>
        <w:rPr>
          <w:rFonts w:ascii="Georgia" w:hAnsi="Georgia"/>
          <w:sz w:val="22"/>
          <w:szCs w:val="22"/>
        </w:rPr>
        <w:t xml:space="preserve">A model capable of producing such information </w:t>
      </w:r>
      <w:r w:rsidR="00756923">
        <w:rPr>
          <w:rFonts w:ascii="Georgia" w:hAnsi="Georgia"/>
          <w:sz w:val="22"/>
          <w:szCs w:val="22"/>
        </w:rPr>
        <w:t xml:space="preserve">for Chinook salmon </w:t>
      </w:r>
      <w:r>
        <w:rPr>
          <w:rFonts w:ascii="Georgia" w:hAnsi="Georgia"/>
          <w:sz w:val="22"/>
          <w:szCs w:val="22"/>
        </w:rPr>
        <w:t xml:space="preserve">has not yet been built. </w:t>
      </w:r>
      <w:commentRangeStart w:id="15"/>
      <w:r>
        <w:rPr>
          <w:rFonts w:ascii="Georgia" w:hAnsi="Georgia"/>
          <w:sz w:val="22"/>
          <w:szCs w:val="22"/>
        </w:rPr>
        <w:t>Most</w:t>
      </w:r>
      <w:commentRangeEnd w:id="15"/>
      <w:r w:rsidR="007815F7">
        <w:rPr>
          <w:rStyle w:val="CommentReference"/>
        </w:rPr>
        <w:commentReference w:id="15"/>
      </w:r>
      <w:r>
        <w:rPr>
          <w:rFonts w:ascii="Georgia" w:hAnsi="Georgia"/>
          <w:sz w:val="22"/>
          <w:szCs w:val="22"/>
        </w:rPr>
        <w:t xml:space="preserve"> studies on</w:t>
      </w:r>
      <w:r w:rsidRPr="00047F35">
        <w:rPr>
          <w:rFonts w:ascii="Georgia" w:hAnsi="Georgia"/>
          <w:sz w:val="22"/>
          <w:szCs w:val="22"/>
        </w:rPr>
        <w:t xml:space="preserve"> depth occupancy in Chinook salmon</w:t>
      </w:r>
      <w:r>
        <w:rPr>
          <w:rFonts w:ascii="Georgia" w:hAnsi="Georgia"/>
          <w:sz w:val="22"/>
          <w:szCs w:val="22"/>
        </w:rPr>
        <w:t xml:space="preserve"> </w:t>
      </w:r>
      <w:r w:rsidRPr="00047F35">
        <w:rPr>
          <w:rFonts w:ascii="Georgia" w:hAnsi="Georgia"/>
          <w:sz w:val="22"/>
          <w:szCs w:val="22"/>
        </w:rPr>
        <w:t xml:space="preserve">have focused on understanding the factors influencing depth </w:t>
      </w:r>
      <w:ins w:id="16" w:author="courtney" w:date="2025-04-29T11:48:00Z">
        <w:r w:rsidR="007815F7">
          <w:rPr>
            <w:rFonts w:ascii="Georgia" w:hAnsi="Georgia"/>
            <w:sz w:val="22"/>
            <w:szCs w:val="22"/>
          </w:rPr>
          <w:t xml:space="preserve">(Cite this studies) </w:t>
        </w:r>
      </w:ins>
      <w:r>
        <w:rPr>
          <w:rFonts w:ascii="Georgia" w:hAnsi="Georgia"/>
          <w:sz w:val="22"/>
          <w:szCs w:val="22"/>
        </w:rPr>
        <w:t>as opposed to</w:t>
      </w:r>
      <w:r w:rsidRPr="00047F35">
        <w:rPr>
          <w:rFonts w:ascii="Georgia" w:hAnsi="Georgia"/>
          <w:sz w:val="22"/>
          <w:szCs w:val="22"/>
        </w:rPr>
        <w:t xml:space="preserve"> developing inferential tools for </w:t>
      </w:r>
      <w:r>
        <w:rPr>
          <w:rFonts w:ascii="Georgia" w:hAnsi="Georgia"/>
          <w:sz w:val="22"/>
          <w:szCs w:val="22"/>
        </w:rPr>
        <w:t xml:space="preserve">localized </w:t>
      </w:r>
      <w:r w:rsidRPr="00047F35">
        <w:rPr>
          <w:rFonts w:ascii="Georgia" w:hAnsi="Georgia"/>
          <w:sz w:val="22"/>
          <w:szCs w:val="22"/>
        </w:rPr>
        <w:t xml:space="preserve">prediction </w:t>
      </w:r>
      <w:commentRangeStart w:id="17"/>
      <w:commentRangeStart w:id="18"/>
      <w:r w:rsidRPr="00047F35">
        <w:rPr>
          <w:rFonts w:ascii="Georgia" w:hAnsi="Georgia"/>
          <w:sz w:val="22"/>
          <w:szCs w:val="22"/>
        </w:rPr>
        <w:t>(Freshwater, 2024</w:t>
      </w:r>
      <w:commentRangeEnd w:id="17"/>
      <w:r w:rsidR="0014349E">
        <w:rPr>
          <w:rStyle w:val="CommentReference"/>
        </w:rPr>
        <w:commentReference w:id="17"/>
      </w:r>
      <w:commentRangeEnd w:id="18"/>
      <w:r w:rsidR="00A44205">
        <w:rPr>
          <w:rStyle w:val="CommentReference"/>
        </w:rPr>
        <w:commentReference w:id="18"/>
      </w:r>
      <w:r w:rsidRPr="00047F35">
        <w:rPr>
          <w:rFonts w:ascii="Georgia" w:hAnsi="Georgia"/>
          <w:sz w:val="22"/>
          <w:szCs w:val="22"/>
        </w:rPr>
        <w:t xml:space="preserve">). </w:t>
      </w:r>
      <w:r>
        <w:rPr>
          <w:rFonts w:ascii="Georgia" w:hAnsi="Georgia"/>
          <w:sz w:val="22"/>
          <w:szCs w:val="22"/>
        </w:rPr>
        <w:t xml:space="preserve">One exception was Freshwater et al., (2024) who trained a model that leveraged localized environmental and temporal covariates to predict expected depth. However, to assess risk in a specific depth range, a model needs to </w:t>
      </w:r>
      <w:r w:rsidRPr="00047F35">
        <w:rPr>
          <w:rFonts w:ascii="Georgia" w:hAnsi="Georgia"/>
          <w:sz w:val="22"/>
          <w:szCs w:val="22"/>
        </w:rPr>
        <w:t xml:space="preserve">estimate the </w:t>
      </w:r>
      <w:r>
        <w:rPr>
          <w:rFonts w:ascii="Georgia" w:hAnsi="Georgia"/>
          <w:sz w:val="22"/>
          <w:szCs w:val="22"/>
        </w:rPr>
        <w:t xml:space="preserve">distribution of fish within the water column. Arostegui et al. (2017) did produce such a distributional model, but without features amenable to localized and dynamic predictions. </w:t>
      </w:r>
      <w:commentRangeStart w:id="19"/>
      <w:r>
        <w:rPr>
          <w:rFonts w:ascii="Georgia" w:hAnsi="Georgia"/>
          <w:sz w:val="22"/>
          <w:szCs w:val="22"/>
        </w:rPr>
        <w:t xml:space="preserve">Combining these two approaches remains an open opportunity for Chinook salmon. </w:t>
      </w:r>
      <w:commentRangeEnd w:id="19"/>
      <w:r w:rsidR="0014349E">
        <w:rPr>
          <w:rStyle w:val="CommentReference"/>
        </w:rPr>
        <w:commentReference w:id="19"/>
      </w:r>
    </w:p>
    <w:p w14:paraId="08067122" w14:textId="77777777" w:rsidR="009A42DC" w:rsidRDefault="009A42DC" w:rsidP="009A42DC">
      <w:pPr>
        <w:rPr>
          <w:rFonts w:ascii="Georgia" w:hAnsi="Georgia"/>
          <w:sz w:val="22"/>
          <w:szCs w:val="22"/>
        </w:rPr>
      </w:pPr>
    </w:p>
    <w:p w14:paraId="7A2ECF62" w14:textId="213F5D49" w:rsidR="009A42DC" w:rsidRPr="00047F35" w:rsidRDefault="009A42DC" w:rsidP="009A42DC">
      <w:pPr>
        <w:rPr>
          <w:rFonts w:ascii="Georgia" w:hAnsi="Georgia"/>
          <w:sz w:val="22"/>
          <w:szCs w:val="22"/>
        </w:rPr>
      </w:pPr>
      <w:r>
        <w:rPr>
          <w:rFonts w:ascii="Georgia" w:hAnsi="Georgia"/>
          <w:color w:val="222222"/>
          <w:sz w:val="22"/>
          <w:szCs w:val="22"/>
          <w:shd w:val="clear" w:color="auto" w:fill="FFFFFF"/>
        </w:rPr>
        <w:lastRenderedPageBreak/>
        <w:t xml:space="preserve">Therefore, our goal is to build a Chinook salmon depth model capable of local prediction and show it can inform bycatch mitigation </w:t>
      </w:r>
      <w:commentRangeStart w:id="21"/>
      <w:r>
        <w:rPr>
          <w:rFonts w:ascii="Georgia" w:hAnsi="Georgia"/>
          <w:color w:val="222222"/>
          <w:sz w:val="22"/>
          <w:szCs w:val="22"/>
          <w:shd w:val="clear" w:color="auto" w:fill="FFFFFF"/>
        </w:rPr>
        <w:t>strategies</w:t>
      </w:r>
      <w:commentRangeEnd w:id="21"/>
      <w:r w:rsidR="003830E7">
        <w:rPr>
          <w:rStyle w:val="CommentReference"/>
        </w:rPr>
        <w:commentReference w:id="21"/>
      </w:r>
      <w:r>
        <w:rPr>
          <w:rFonts w:ascii="Georgia" w:hAnsi="Georgia"/>
          <w:color w:val="222222"/>
          <w:sz w:val="22"/>
          <w:szCs w:val="22"/>
          <w:shd w:val="clear" w:color="auto" w:fill="FFFFFF"/>
        </w:rPr>
        <w:t xml:space="preserve">. We will do this in three steps. First, we will build a model that leverages environmental and temporal context to predict the relative likelihood of depth-bin </w:t>
      </w:r>
      <w:del w:id="22" w:author="Seitz" w:date="2025-04-28T17:34:00Z">
        <w:r w:rsidDel="0014349E">
          <w:rPr>
            <w:rFonts w:ascii="Georgia" w:hAnsi="Georgia"/>
            <w:color w:val="222222"/>
            <w:sz w:val="22"/>
            <w:szCs w:val="22"/>
            <w:shd w:val="clear" w:color="auto" w:fill="FFFFFF"/>
          </w:rPr>
          <w:delText xml:space="preserve">use </w:delText>
        </w:r>
      </w:del>
      <w:ins w:id="23" w:author="Seitz" w:date="2025-04-28T17:34:00Z">
        <w:r w:rsidR="0014349E">
          <w:rPr>
            <w:rFonts w:ascii="Georgia" w:hAnsi="Georgia"/>
            <w:color w:val="222222"/>
            <w:sz w:val="22"/>
            <w:szCs w:val="22"/>
            <w:shd w:val="clear" w:color="auto" w:fill="FFFFFF"/>
          </w:rPr>
          <w:t xml:space="preserve">occupation </w:t>
        </w:r>
      </w:ins>
      <w:del w:id="24" w:author="Seitz" w:date="2025-04-28T17:35:00Z">
        <w:r w:rsidDel="0014349E">
          <w:rPr>
            <w:rFonts w:ascii="Georgia" w:hAnsi="Georgia"/>
            <w:color w:val="222222"/>
            <w:sz w:val="22"/>
            <w:szCs w:val="22"/>
            <w:shd w:val="clear" w:color="auto" w:fill="FFFFFF"/>
          </w:rPr>
          <w:delText xml:space="preserve">across </w:delText>
        </w:r>
      </w:del>
      <w:ins w:id="25" w:author="Seitz" w:date="2025-04-28T17:35:00Z">
        <w:r w:rsidR="0014349E">
          <w:rPr>
            <w:rFonts w:ascii="Georgia" w:hAnsi="Georgia"/>
            <w:color w:val="222222"/>
            <w:sz w:val="22"/>
            <w:szCs w:val="22"/>
            <w:shd w:val="clear" w:color="auto" w:fill="FFFFFF"/>
          </w:rPr>
          <w:t xml:space="preserve">throughout </w:t>
        </w:r>
      </w:ins>
      <w:r>
        <w:rPr>
          <w:rFonts w:ascii="Georgia" w:hAnsi="Georgia"/>
          <w:color w:val="222222"/>
          <w:sz w:val="22"/>
          <w:szCs w:val="22"/>
          <w:shd w:val="clear" w:color="auto" w:fill="FFFFFF"/>
        </w:rPr>
        <w:t xml:space="preserve">the water column. Second, we will evaluate the model’s predictions against observed depth occupancy and compare it to </w:t>
      </w:r>
      <w:commentRangeStart w:id="26"/>
      <w:r>
        <w:rPr>
          <w:rFonts w:ascii="Georgia" w:hAnsi="Georgia"/>
          <w:color w:val="222222"/>
          <w:sz w:val="22"/>
          <w:szCs w:val="22"/>
          <w:shd w:val="clear" w:color="auto" w:fill="FFFFFF"/>
        </w:rPr>
        <w:t>past research</w:t>
      </w:r>
      <w:commentRangeEnd w:id="26"/>
      <w:r w:rsidR="0014349E">
        <w:rPr>
          <w:rStyle w:val="CommentReference"/>
        </w:rPr>
        <w:commentReference w:id="26"/>
      </w:r>
      <w:r>
        <w:rPr>
          <w:rFonts w:ascii="Georgia" w:hAnsi="Georgia"/>
          <w:color w:val="222222"/>
          <w:sz w:val="22"/>
          <w:szCs w:val="22"/>
          <w:shd w:val="clear" w:color="auto" w:fill="FFFFFF"/>
        </w:rPr>
        <w:t>. Finally, we will generate a year's worth of predictions over the Gulf of Alaska and illustrate how those predictions can inform the selection of places and times where there is lower risk of Chinook occupancy near the sea floor.</w:t>
      </w:r>
    </w:p>
    <w:p w14:paraId="0CD9D398" w14:textId="77777777" w:rsidR="00756BE6" w:rsidRDefault="00756BE6"/>
    <w:sectPr w:rsidR="00756BE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courtney" w:date="2025-04-29T11:40:00Z" w:initials="mbc">
    <w:p w14:paraId="45096544" w14:textId="7EA1FF93" w:rsidR="005476B2" w:rsidRDefault="005476B2">
      <w:pPr>
        <w:pStyle w:val="CommentText"/>
      </w:pPr>
      <w:r>
        <w:rPr>
          <w:rStyle w:val="CommentReference"/>
        </w:rPr>
        <w:annotationRef/>
      </w:r>
      <w:r>
        <w:t>Million?</w:t>
      </w:r>
    </w:p>
  </w:comment>
  <w:comment w:id="3" w:author="Seitz" w:date="2025-04-28T17:27:00Z" w:initials="S">
    <w:p w14:paraId="644EFA23" w14:textId="1169068E" w:rsidR="0014349E" w:rsidRDefault="0014349E">
      <w:pPr>
        <w:pStyle w:val="CommentText"/>
      </w:pPr>
      <w:r>
        <w:rPr>
          <w:rStyle w:val="CommentReference"/>
        </w:rPr>
        <w:annotationRef/>
      </w:r>
      <w:r>
        <w:t xml:space="preserve">I think it would be appropriate to add a sentence or two about the shutdown of the trawl fishery this past winter because of the capture of Chinook salmon.  </w:t>
      </w:r>
    </w:p>
  </w:comment>
  <w:comment w:id="4" w:author="courtney" w:date="2025-04-29T12:01:00Z" w:initials="mbc">
    <w:p w14:paraId="0A76275E" w14:textId="7A143AF9" w:rsidR="00152D23" w:rsidRDefault="00152D23" w:rsidP="00152D23">
      <w:pPr>
        <w:pStyle w:val="CommentText"/>
      </w:pPr>
      <w:r>
        <w:rPr>
          <w:rStyle w:val="CommentReference"/>
        </w:rPr>
        <w:annotationRef/>
      </w:r>
      <w:r w:rsidRPr="005A45AE">
        <w:rPr>
          <w:rFonts w:ascii="Georgia" w:hAnsi="Georgia"/>
          <w:sz w:val="22"/>
          <w:szCs w:val="22"/>
        </w:rPr>
        <w:t>2020</w:t>
      </w:r>
      <w:r>
        <w:rPr>
          <w:rFonts w:ascii="Georgia" w:hAnsi="Georgia"/>
          <w:sz w:val="22"/>
          <w:szCs w:val="22"/>
        </w:rPr>
        <w:t xml:space="preserve"> </w:t>
      </w:r>
      <w:proofErr w:type="spellStart"/>
      <w:r>
        <w:rPr>
          <w:rFonts w:ascii="Georgia" w:hAnsi="Georgia"/>
          <w:sz w:val="22"/>
          <w:szCs w:val="22"/>
        </w:rPr>
        <w:t>pollock</w:t>
      </w:r>
      <w:proofErr w:type="spellEnd"/>
      <w:r>
        <w:rPr>
          <w:rFonts w:ascii="Georgia" w:hAnsi="Georgia"/>
          <w:sz w:val="22"/>
          <w:szCs w:val="22"/>
        </w:rPr>
        <w:t xml:space="preserve"> catch in just the Gulf of Alaska</w:t>
      </w:r>
    </w:p>
  </w:comment>
  <w:comment w:id="5" w:author="courtney" w:date="2025-04-29T12:01:00Z" w:initials="mbc">
    <w:p w14:paraId="075D61B5" w14:textId="7EC3D67F" w:rsidR="00152D23" w:rsidRDefault="00152D23" w:rsidP="00152D23">
      <w:pPr>
        <w:pStyle w:val="CommentText"/>
      </w:pPr>
      <w:r>
        <w:rPr>
          <w:rStyle w:val="CommentReference"/>
        </w:rPr>
        <w:annotationRef/>
      </w:r>
      <w:r>
        <w:t>I think you should mention briefly the data that are included in this model (e.g., SST, etc.). That way the next paragraph makes a little more sense. Specifically, that these models do not use depth occupancy.</w:t>
      </w:r>
      <w:r>
        <w:t xml:space="preserve"> Maybe even mention that these have been used on other sensitive </w:t>
      </w:r>
      <w:r w:rsidR="00A44205">
        <w:t>bycatch species</w:t>
      </w:r>
    </w:p>
    <w:p w14:paraId="5C48A64F" w14:textId="6A210235" w:rsidR="00152D23" w:rsidRDefault="00152D23" w:rsidP="00152D23">
      <w:pPr>
        <w:pStyle w:val="CommentText"/>
      </w:pPr>
    </w:p>
    <w:p w14:paraId="0F5E9F79" w14:textId="6AB4A713" w:rsidR="00152D23" w:rsidRDefault="00152D23" w:rsidP="00152D23">
      <w:pPr>
        <w:pStyle w:val="CommentText"/>
      </w:pPr>
      <w:r>
        <w:t>I personally like paragraphs to be 5-7 sentences long and these additions would get this there.</w:t>
      </w:r>
    </w:p>
    <w:p w14:paraId="1BC92192" w14:textId="0E199B09" w:rsidR="00152D23" w:rsidRDefault="00152D23">
      <w:pPr>
        <w:pStyle w:val="CommentText"/>
      </w:pPr>
    </w:p>
  </w:comment>
  <w:comment w:id="6" w:author="Seitz" w:date="2025-04-28T17:28:00Z" w:initials="S">
    <w:p w14:paraId="052D270B" w14:textId="5AC86984" w:rsidR="0014349E" w:rsidRDefault="0014349E">
      <w:pPr>
        <w:pStyle w:val="CommentText"/>
      </w:pPr>
      <w:r>
        <w:rPr>
          <w:rStyle w:val="CommentReference"/>
        </w:rPr>
        <w:annotationRef/>
      </w:r>
      <w:r>
        <w:t>Now I am getting nit-picky… you should use the full common name every time, OR, you can say “hereafter referred to as ‘</w:t>
      </w:r>
      <w:proofErr w:type="spellStart"/>
      <w:r>
        <w:t>pollock</w:t>
      </w:r>
      <w:proofErr w:type="spellEnd"/>
      <w:r>
        <w:t xml:space="preserve">’” after the first mention of walleye </w:t>
      </w:r>
      <w:proofErr w:type="spellStart"/>
      <w:r>
        <w:t>pollock</w:t>
      </w:r>
      <w:proofErr w:type="spellEnd"/>
      <w:r>
        <w:t xml:space="preserve"> and then use </w:t>
      </w:r>
      <w:proofErr w:type="spellStart"/>
      <w:r>
        <w:t>pollock</w:t>
      </w:r>
      <w:proofErr w:type="spellEnd"/>
      <w:r>
        <w:t xml:space="preserve"> after that. </w:t>
      </w:r>
    </w:p>
  </w:comment>
  <w:comment w:id="13" w:author="Seitz" w:date="2025-04-28T17:32:00Z" w:initials="S">
    <w:p w14:paraId="5C4B0700" w14:textId="624769CC" w:rsidR="0014349E" w:rsidRDefault="0014349E">
      <w:pPr>
        <w:pStyle w:val="CommentText"/>
      </w:pPr>
      <w:r>
        <w:rPr>
          <w:rStyle w:val="CommentReference"/>
        </w:rPr>
        <w:annotationRef/>
      </w:r>
      <w:r>
        <w:t xml:space="preserve">It might be good to indicate that the fleet targets adults because they fetch more $$$.  </w:t>
      </w:r>
    </w:p>
  </w:comment>
  <w:comment w:id="15" w:author="courtney" w:date="2025-04-29T11:52:00Z" w:initials="mbc">
    <w:p w14:paraId="70BE38DB" w14:textId="5AE15412" w:rsidR="007815F7" w:rsidRDefault="007815F7">
      <w:pPr>
        <w:pStyle w:val="CommentText"/>
      </w:pPr>
      <w:r>
        <w:rPr>
          <w:rStyle w:val="CommentReference"/>
        </w:rPr>
        <w:annotationRef/>
      </w:r>
      <w:r>
        <w:t>Has a model like this been built for any animal? If so, I think it would be worth mentioning.</w:t>
      </w:r>
      <w:r w:rsidR="00152D23">
        <w:t xml:space="preserve"> If so, you could say “However, similar models have provided insights to yada </w:t>
      </w:r>
      <w:proofErr w:type="spellStart"/>
      <w:r w:rsidR="00152D23">
        <w:t>yada</w:t>
      </w:r>
      <w:proofErr w:type="spellEnd"/>
      <w:r w:rsidR="00152D23">
        <w:t xml:space="preserve"> (cite).</w:t>
      </w:r>
    </w:p>
  </w:comment>
  <w:comment w:id="17" w:author="Seitz" w:date="2025-04-28T17:33:00Z" w:initials="S">
    <w:p w14:paraId="68B2A627" w14:textId="1FFCE273" w:rsidR="0014349E" w:rsidRDefault="0014349E">
      <w:pPr>
        <w:pStyle w:val="CommentText"/>
      </w:pPr>
      <w:r>
        <w:rPr>
          <w:rStyle w:val="CommentReference"/>
        </w:rPr>
        <w:annotationRef/>
      </w:r>
      <w:r>
        <w:t xml:space="preserve">If you ever want to talk to Cam Freshwater, let us know.  Michael has helped him get a sockeye tagging project off the ground, and Cam is great.  </w:t>
      </w:r>
    </w:p>
  </w:comment>
  <w:comment w:id="18" w:author="courtney" w:date="2025-04-29T12:06:00Z" w:initials="mbc">
    <w:p w14:paraId="3A08B328" w14:textId="3159FF72" w:rsidR="00A44205" w:rsidRDefault="00A44205">
      <w:pPr>
        <w:pStyle w:val="CommentText"/>
      </w:pPr>
      <w:r>
        <w:rPr>
          <w:rStyle w:val="CommentReference"/>
        </w:rPr>
        <w:annotationRef/>
      </w:r>
      <w:r>
        <w:t>Agree, Cam is a great guy</w:t>
      </w:r>
    </w:p>
  </w:comment>
  <w:comment w:id="19" w:author="Seitz" w:date="2025-04-28T17:34:00Z" w:initials="S">
    <w:p w14:paraId="43880761" w14:textId="5D5D06B6" w:rsidR="0014349E" w:rsidRDefault="0014349E">
      <w:pPr>
        <w:pStyle w:val="CommentText"/>
      </w:pPr>
      <w:r>
        <w:rPr>
          <w:rStyle w:val="CommentReference"/>
        </w:rPr>
        <w:annotationRef/>
      </w:r>
      <w:r>
        <w:t xml:space="preserve">If you can’t help yourself, you could sneak in the benefits of using </w:t>
      </w:r>
      <w:bookmarkStart w:id="20" w:name="_GoBack"/>
      <w:bookmarkEnd w:id="20"/>
      <w:r>
        <w:t xml:space="preserve">a ML approach here. That way, you don’t need to provide any background methods about ML in the methods.   </w:t>
      </w:r>
    </w:p>
  </w:comment>
  <w:comment w:id="21" w:author="courtney" w:date="2025-04-29T11:54:00Z" w:initials="mbc">
    <w:p w14:paraId="54F1B885" w14:textId="36004981" w:rsidR="003830E7" w:rsidRDefault="003830E7">
      <w:pPr>
        <w:pStyle w:val="CommentText"/>
      </w:pPr>
      <w:r>
        <w:rPr>
          <w:rStyle w:val="CommentReference"/>
        </w:rPr>
        <w:annotationRef/>
      </w:r>
      <w:r>
        <w:t>I think you can mention the data used here, tagging data from electronic tags</w:t>
      </w:r>
    </w:p>
  </w:comment>
  <w:comment w:id="26" w:author="Seitz" w:date="2025-04-28T17:35:00Z" w:initials="S">
    <w:p w14:paraId="16EA8CEB" w14:textId="01F76823" w:rsidR="0014349E" w:rsidRDefault="0014349E">
      <w:pPr>
        <w:pStyle w:val="CommentText"/>
      </w:pPr>
      <w:r>
        <w:rPr>
          <w:rStyle w:val="CommentReference"/>
        </w:rPr>
        <w:annotationRef/>
      </w:r>
      <w:r>
        <w:t xml:space="preserve">Can you provide a tad more detail?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5096544" w15:done="0"/>
  <w15:commentEx w15:paraId="644EFA23" w15:done="0"/>
  <w15:commentEx w15:paraId="0A76275E" w15:done="0"/>
  <w15:commentEx w15:paraId="1BC92192" w15:done="0"/>
  <w15:commentEx w15:paraId="052D270B" w15:done="0"/>
  <w15:commentEx w15:paraId="5C4B0700" w15:done="0"/>
  <w15:commentEx w15:paraId="70BE38DB" w15:done="0"/>
  <w15:commentEx w15:paraId="68B2A627" w15:done="0"/>
  <w15:commentEx w15:paraId="3A08B328" w15:paraIdParent="68B2A627" w15:done="0"/>
  <w15:commentEx w15:paraId="43880761" w15:done="0"/>
  <w15:commentEx w15:paraId="54F1B885" w15:done="0"/>
  <w15:commentEx w15:paraId="16EA8CE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eitz">
    <w15:presenceInfo w15:providerId="None" w15:userId="Seitz"/>
  </w15:person>
  <w15:person w15:author="courtney">
    <w15:presenceInfo w15:providerId="Windows Live" w15:userId="6b3757a1f222d0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2DC"/>
    <w:rsid w:val="0014349E"/>
    <w:rsid w:val="00152D23"/>
    <w:rsid w:val="00200B3C"/>
    <w:rsid w:val="003830E7"/>
    <w:rsid w:val="005476B2"/>
    <w:rsid w:val="006D2A0E"/>
    <w:rsid w:val="00756923"/>
    <w:rsid w:val="00756BE6"/>
    <w:rsid w:val="007815F7"/>
    <w:rsid w:val="00846D90"/>
    <w:rsid w:val="00862CCF"/>
    <w:rsid w:val="009A26FE"/>
    <w:rsid w:val="009A42DC"/>
    <w:rsid w:val="00A44205"/>
    <w:rsid w:val="00A92FE3"/>
    <w:rsid w:val="00F244D7"/>
    <w:rsid w:val="00FF0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C1C75"/>
  <w15:chartTrackingRefBased/>
  <w15:docId w15:val="{9523FB50-DEF3-E947-9516-7649230DB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42DC"/>
    <w:pPr>
      <w:spacing w:after="0" w:line="240" w:lineRule="auto"/>
    </w:pPr>
  </w:style>
  <w:style w:type="paragraph" w:styleId="Heading1">
    <w:name w:val="heading 1"/>
    <w:basedOn w:val="Normal"/>
    <w:next w:val="Normal"/>
    <w:link w:val="Heading1Char"/>
    <w:uiPriority w:val="9"/>
    <w:qFormat/>
    <w:rsid w:val="009A42DC"/>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42DC"/>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42DC"/>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42DC"/>
    <w:pPr>
      <w:keepNext/>
      <w:keepLines/>
      <w:spacing w:before="80" w:after="40" w:line="278"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42DC"/>
    <w:pPr>
      <w:keepNext/>
      <w:keepLines/>
      <w:spacing w:before="80" w:after="40" w:line="278"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42DC"/>
    <w:pPr>
      <w:keepNext/>
      <w:keepLines/>
      <w:spacing w:before="40" w:line="278"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42DC"/>
    <w:pPr>
      <w:keepNext/>
      <w:keepLines/>
      <w:spacing w:before="40" w:line="278"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42DC"/>
    <w:pPr>
      <w:keepNext/>
      <w:keepLines/>
      <w:spacing w:line="278"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42DC"/>
    <w:pPr>
      <w:keepNext/>
      <w:keepLines/>
      <w:spacing w:line="278"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2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42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42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42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42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42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42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42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42DC"/>
    <w:rPr>
      <w:rFonts w:eastAsiaTheme="majorEastAsia" w:cstheme="majorBidi"/>
      <w:color w:val="272727" w:themeColor="text1" w:themeTint="D8"/>
    </w:rPr>
  </w:style>
  <w:style w:type="paragraph" w:styleId="Title">
    <w:name w:val="Title"/>
    <w:basedOn w:val="Normal"/>
    <w:next w:val="Normal"/>
    <w:link w:val="TitleChar"/>
    <w:uiPriority w:val="10"/>
    <w:qFormat/>
    <w:rsid w:val="009A42D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42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42DC"/>
    <w:pPr>
      <w:numPr>
        <w:ilvl w:val="1"/>
      </w:numPr>
      <w:spacing w:after="160"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42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42DC"/>
    <w:pPr>
      <w:spacing w:before="160" w:after="160" w:line="278" w:lineRule="auto"/>
      <w:jc w:val="center"/>
    </w:pPr>
    <w:rPr>
      <w:i/>
      <w:iCs/>
      <w:color w:val="404040" w:themeColor="text1" w:themeTint="BF"/>
    </w:rPr>
  </w:style>
  <w:style w:type="character" w:customStyle="1" w:styleId="QuoteChar">
    <w:name w:val="Quote Char"/>
    <w:basedOn w:val="DefaultParagraphFont"/>
    <w:link w:val="Quote"/>
    <w:uiPriority w:val="29"/>
    <w:rsid w:val="009A42DC"/>
    <w:rPr>
      <w:i/>
      <w:iCs/>
      <w:color w:val="404040" w:themeColor="text1" w:themeTint="BF"/>
    </w:rPr>
  </w:style>
  <w:style w:type="paragraph" w:styleId="ListParagraph">
    <w:name w:val="List Paragraph"/>
    <w:basedOn w:val="Normal"/>
    <w:uiPriority w:val="34"/>
    <w:qFormat/>
    <w:rsid w:val="009A42DC"/>
    <w:pPr>
      <w:spacing w:after="160" w:line="278" w:lineRule="auto"/>
      <w:ind w:left="720"/>
      <w:contextualSpacing/>
    </w:pPr>
  </w:style>
  <w:style w:type="character" w:styleId="IntenseEmphasis">
    <w:name w:val="Intense Emphasis"/>
    <w:basedOn w:val="DefaultParagraphFont"/>
    <w:uiPriority w:val="21"/>
    <w:qFormat/>
    <w:rsid w:val="009A42DC"/>
    <w:rPr>
      <w:i/>
      <w:iCs/>
      <w:color w:val="0F4761" w:themeColor="accent1" w:themeShade="BF"/>
    </w:rPr>
  </w:style>
  <w:style w:type="paragraph" w:styleId="IntenseQuote">
    <w:name w:val="Intense Quote"/>
    <w:basedOn w:val="Normal"/>
    <w:next w:val="Normal"/>
    <w:link w:val="IntenseQuoteChar"/>
    <w:uiPriority w:val="30"/>
    <w:qFormat/>
    <w:rsid w:val="009A42DC"/>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42DC"/>
    <w:rPr>
      <w:i/>
      <w:iCs/>
      <w:color w:val="0F4761" w:themeColor="accent1" w:themeShade="BF"/>
    </w:rPr>
  </w:style>
  <w:style w:type="character" w:styleId="IntenseReference">
    <w:name w:val="Intense Reference"/>
    <w:basedOn w:val="DefaultParagraphFont"/>
    <w:uiPriority w:val="32"/>
    <w:qFormat/>
    <w:rsid w:val="009A42DC"/>
    <w:rPr>
      <w:b/>
      <w:bCs/>
      <w:smallCaps/>
      <w:color w:val="0F4761" w:themeColor="accent1" w:themeShade="BF"/>
      <w:spacing w:val="5"/>
    </w:rPr>
  </w:style>
  <w:style w:type="character" w:styleId="CommentReference">
    <w:name w:val="annotation reference"/>
    <w:basedOn w:val="DefaultParagraphFont"/>
    <w:uiPriority w:val="99"/>
    <w:semiHidden/>
    <w:unhideWhenUsed/>
    <w:rsid w:val="0014349E"/>
    <w:rPr>
      <w:sz w:val="16"/>
      <w:szCs w:val="16"/>
    </w:rPr>
  </w:style>
  <w:style w:type="paragraph" w:styleId="CommentText">
    <w:name w:val="annotation text"/>
    <w:basedOn w:val="Normal"/>
    <w:link w:val="CommentTextChar"/>
    <w:uiPriority w:val="99"/>
    <w:semiHidden/>
    <w:unhideWhenUsed/>
    <w:rsid w:val="0014349E"/>
    <w:rPr>
      <w:sz w:val="20"/>
      <w:szCs w:val="20"/>
    </w:rPr>
  </w:style>
  <w:style w:type="character" w:customStyle="1" w:styleId="CommentTextChar">
    <w:name w:val="Comment Text Char"/>
    <w:basedOn w:val="DefaultParagraphFont"/>
    <w:link w:val="CommentText"/>
    <w:uiPriority w:val="99"/>
    <w:semiHidden/>
    <w:rsid w:val="0014349E"/>
    <w:rPr>
      <w:sz w:val="20"/>
      <w:szCs w:val="20"/>
    </w:rPr>
  </w:style>
  <w:style w:type="paragraph" w:styleId="CommentSubject">
    <w:name w:val="annotation subject"/>
    <w:basedOn w:val="CommentText"/>
    <w:next w:val="CommentText"/>
    <w:link w:val="CommentSubjectChar"/>
    <w:uiPriority w:val="99"/>
    <w:semiHidden/>
    <w:unhideWhenUsed/>
    <w:rsid w:val="0014349E"/>
    <w:rPr>
      <w:b/>
      <w:bCs/>
    </w:rPr>
  </w:style>
  <w:style w:type="character" w:customStyle="1" w:styleId="CommentSubjectChar">
    <w:name w:val="Comment Subject Char"/>
    <w:basedOn w:val="CommentTextChar"/>
    <w:link w:val="CommentSubject"/>
    <w:uiPriority w:val="99"/>
    <w:semiHidden/>
    <w:rsid w:val="0014349E"/>
    <w:rPr>
      <w:b/>
      <w:bCs/>
      <w:sz w:val="20"/>
      <w:szCs w:val="20"/>
    </w:rPr>
  </w:style>
  <w:style w:type="paragraph" w:styleId="BalloonText">
    <w:name w:val="Balloon Text"/>
    <w:basedOn w:val="Normal"/>
    <w:link w:val="BalloonTextChar"/>
    <w:uiPriority w:val="99"/>
    <w:semiHidden/>
    <w:unhideWhenUsed/>
    <w:rsid w:val="001434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349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E5B1F3-8ABD-4A7A-BB7F-44AFD70F6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702</Words>
  <Characters>4007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Gietzmann-Sanders</dc:creator>
  <cp:keywords/>
  <dc:description/>
  <cp:lastModifiedBy>courtney</cp:lastModifiedBy>
  <cp:revision>2</cp:revision>
  <dcterms:created xsi:type="dcterms:W3CDTF">2025-04-29T20:09:00Z</dcterms:created>
  <dcterms:modified xsi:type="dcterms:W3CDTF">2025-04-29T20:09:00Z</dcterms:modified>
</cp:coreProperties>
</file>