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E81" w:rsidRPr="00C64870" w:rsidRDefault="00412E81" w:rsidP="00412E81">
      <w:pPr>
        <w:rPr>
          <w:b/>
          <w:sz w:val="22"/>
          <w:szCs w:val="22"/>
        </w:rPr>
      </w:pPr>
      <w:r w:rsidRPr="00C64870">
        <w:rPr>
          <w:b/>
          <w:sz w:val="22"/>
          <w:szCs w:val="22"/>
        </w:rPr>
        <w:t xml:space="preserve">Advisory Notice </w:t>
      </w:r>
      <w:r w:rsidR="002C118D">
        <w:rPr>
          <w:b/>
          <w:sz w:val="22"/>
          <w:szCs w:val="22"/>
        </w:rPr>
        <w:t xml:space="preserve">to Academic Institutions Purchasing this </w:t>
      </w:r>
      <w:r w:rsidR="002C118D" w:rsidRPr="002C118D">
        <w:rPr>
          <w:b/>
          <w:sz w:val="22"/>
          <w:szCs w:val="22"/>
        </w:rPr>
        <w:t>PDX tumor material and/or PDX engrafted mice</w:t>
      </w:r>
      <w:r w:rsidR="00A7690C">
        <w:rPr>
          <w:b/>
          <w:sz w:val="22"/>
          <w:szCs w:val="22"/>
        </w:rPr>
        <w:t xml:space="preserve"> (“Recipient”)</w:t>
      </w:r>
      <w:r w:rsidR="002C118D">
        <w:rPr>
          <w:b/>
          <w:sz w:val="22"/>
          <w:szCs w:val="22"/>
        </w:rPr>
        <w:t>.</w:t>
      </w:r>
    </w:p>
    <w:p w:rsidR="00412E81" w:rsidRPr="00C64870" w:rsidRDefault="00412E81" w:rsidP="00412E81">
      <w:pPr>
        <w:rPr>
          <w:sz w:val="22"/>
          <w:szCs w:val="22"/>
        </w:rPr>
      </w:pPr>
    </w:p>
    <w:p w:rsidR="00412E81" w:rsidRPr="00C64870" w:rsidRDefault="00412E81" w:rsidP="00412E81">
      <w:pPr>
        <w:pStyle w:val="StyleBoldDarkBlueLeft025Right016Linespacing"/>
        <w:spacing w:line="240" w:lineRule="auto"/>
        <w:ind w:right="144"/>
        <w:rPr>
          <w:rFonts w:ascii="Arial" w:hAnsi="Arial" w:cs="Arial"/>
          <w:color w:val="auto"/>
          <w:szCs w:val="22"/>
        </w:rPr>
      </w:pPr>
      <w:r w:rsidRPr="00C64870">
        <w:rPr>
          <w:rFonts w:ascii="Arial" w:hAnsi="Arial" w:cs="Arial"/>
          <w:color w:val="auto"/>
          <w:szCs w:val="22"/>
        </w:rPr>
        <w:t>The PDX tumor material and/or PDX engrafted mice (hereinafter, "Material(s)") are distributed by The Jackson Laboratory</w:t>
      </w:r>
      <w:r w:rsidR="00981F98">
        <w:rPr>
          <w:rFonts w:ascii="Arial" w:hAnsi="Arial" w:cs="Arial"/>
          <w:color w:val="auto"/>
          <w:szCs w:val="22"/>
        </w:rPr>
        <w:t xml:space="preserve"> </w:t>
      </w:r>
      <w:r w:rsidR="00981F98" w:rsidRPr="00981F98">
        <w:rPr>
          <w:rFonts w:ascii="Arial" w:hAnsi="Arial" w:cs="Arial"/>
          <w:color w:val="auto"/>
          <w:szCs w:val="22"/>
        </w:rPr>
        <w:t>(“JACKSON”)</w:t>
      </w:r>
      <w:r w:rsidRPr="00C64870">
        <w:rPr>
          <w:rFonts w:ascii="Arial" w:hAnsi="Arial" w:cs="Arial"/>
          <w:color w:val="auto"/>
          <w:szCs w:val="22"/>
        </w:rPr>
        <w:t xml:space="preserve"> to you the Recipient pursuant to the following terms and conditions.</w:t>
      </w:r>
    </w:p>
    <w:p w:rsidR="00412E81" w:rsidRPr="00C64870" w:rsidRDefault="00412E81" w:rsidP="00412E81">
      <w:pPr>
        <w:pStyle w:val="StyleBoldDarkBlueLeft025Right016Linespacing"/>
        <w:spacing w:line="240" w:lineRule="auto"/>
        <w:ind w:right="144"/>
        <w:rPr>
          <w:rFonts w:ascii="Arial" w:hAnsi="Arial" w:cs="Arial"/>
          <w:color w:val="auto"/>
          <w:szCs w:val="22"/>
        </w:rPr>
      </w:pPr>
    </w:p>
    <w:p w:rsidR="00412E81" w:rsidRPr="00C64870" w:rsidRDefault="00412E81" w:rsidP="00412E81">
      <w:pPr>
        <w:pStyle w:val="NormalWeb"/>
        <w:spacing w:before="0" w:beforeAutospacing="0" w:after="0" w:afterAutospacing="0"/>
        <w:ind w:right="144"/>
        <w:rPr>
          <w:sz w:val="22"/>
          <w:szCs w:val="22"/>
        </w:rPr>
      </w:pPr>
      <w:r w:rsidRPr="00C64870">
        <w:rPr>
          <w:bCs/>
          <w:sz w:val="22"/>
          <w:szCs w:val="22"/>
        </w:rPr>
        <w:t>As a service to the biomedical research co</w:t>
      </w:r>
      <w:r w:rsidR="00981F98">
        <w:rPr>
          <w:bCs/>
          <w:sz w:val="22"/>
          <w:szCs w:val="22"/>
        </w:rPr>
        <w:t>mmunity, JACKSON</w:t>
      </w:r>
      <w:r w:rsidRPr="00C64870">
        <w:rPr>
          <w:bCs/>
          <w:sz w:val="22"/>
          <w:szCs w:val="22"/>
        </w:rPr>
        <w:t xml:space="preserve"> provides the Materials to Recipient solely for internal research purposes and not for any Commercial Purpose as defined herein. </w:t>
      </w:r>
      <w:r w:rsidRPr="00C64870">
        <w:rPr>
          <w:sz w:val="22"/>
          <w:szCs w:val="22"/>
        </w:rPr>
        <w:t>The Materials shall not be transferred to any third party, or transferred by Recipient Investigator to any other investigator’s laboratory at Recipient Institution, or used to provide services to other investigators’ laboratories at Recipient Institution, or used for any purposes other than internal research, or used in any research involving human subjects.  Recipient shall not identify, attempt to identify, contact, or attempt to contact the individual(s) who provided human samples for the Materials.</w:t>
      </w:r>
    </w:p>
    <w:p w:rsidR="00412E81" w:rsidRPr="00C64870" w:rsidRDefault="00412E81" w:rsidP="00412E81">
      <w:pPr>
        <w:pStyle w:val="NormalWeb"/>
        <w:spacing w:before="0" w:beforeAutospacing="0" w:after="0" w:afterAutospacing="0"/>
        <w:ind w:right="144"/>
        <w:rPr>
          <w:bCs/>
          <w:sz w:val="22"/>
          <w:szCs w:val="22"/>
        </w:rPr>
      </w:pPr>
    </w:p>
    <w:p w:rsidR="00412E81" w:rsidRPr="00C64870" w:rsidRDefault="00412E81" w:rsidP="00412E81">
      <w:pPr>
        <w:pStyle w:val="NormalWeb"/>
        <w:spacing w:before="0" w:beforeAutospacing="0" w:after="0" w:afterAutospacing="0"/>
        <w:ind w:right="144"/>
        <w:rPr>
          <w:sz w:val="22"/>
          <w:szCs w:val="22"/>
        </w:rPr>
      </w:pPr>
      <w:r w:rsidRPr="00C64870">
        <w:rPr>
          <w:bCs/>
          <w:sz w:val="22"/>
          <w:szCs w:val="22"/>
        </w:rPr>
        <w:t>Commercial Purpose means: use of the Materials by any organization, including Recipient to perform contract research, screen compound libraries, produce or manufacture products for general sale, or to conduct research activities that result in sale, lease, licenses or transfer of the Material to a for-profit organization. However, industrially sponsored academic research shall not be considered a use of the Material for Commercial Purposes,</w:t>
      </w:r>
      <w:r w:rsidRPr="00C64870">
        <w:rPr>
          <w:sz w:val="22"/>
          <w:szCs w:val="22"/>
        </w:rPr>
        <w:t xml:space="preserve"> provided that (a) Materials are not physically transferred to the sponsoring company, and (b) Recipient Institution’s sponsored research contract does not grant the sponsoring company any property rights to the Materials or to any associated, pre-existing intellectual property.</w:t>
      </w:r>
    </w:p>
    <w:p w:rsidR="00412E81" w:rsidRPr="00C64870" w:rsidRDefault="00412E81" w:rsidP="00412E81">
      <w:pPr>
        <w:pStyle w:val="NormalWeb"/>
        <w:spacing w:before="0" w:beforeAutospacing="0" w:after="0" w:afterAutospacing="0"/>
        <w:ind w:right="144"/>
        <w:rPr>
          <w:sz w:val="22"/>
          <w:szCs w:val="22"/>
        </w:rPr>
      </w:pPr>
    </w:p>
    <w:p w:rsidR="00412E81" w:rsidRPr="00C64870" w:rsidRDefault="00412E81" w:rsidP="00412E81">
      <w:pPr>
        <w:pStyle w:val="NormalWeb"/>
        <w:spacing w:before="0" w:beforeAutospacing="0" w:after="0" w:afterAutospacing="0"/>
        <w:ind w:right="144"/>
        <w:rPr>
          <w:bCs/>
          <w:sz w:val="22"/>
          <w:szCs w:val="22"/>
        </w:rPr>
      </w:pPr>
      <w:r w:rsidRPr="00C64870">
        <w:rPr>
          <w:sz w:val="22"/>
          <w:szCs w:val="22"/>
        </w:rPr>
        <w:t xml:space="preserve">No other right or license, to a patent or otherwise, is granted to Recipient for the use of the Materials as a result of Jackson’s transmission of them to Recipient.  </w:t>
      </w:r>
      <w:r w:rsidRPr="00C64870">
        <w:rPr>
          <w:bCs/>
          <w:sz w:val="22"/>
          <w:szCs w:val="22"/>
        </w:rPr>
        <w:t xml:space="preserve">Recipient further agrees not to use any agent or other third party to provide breeding or other services with respect to any mouse models provided without the prior written agreement of </w:t>
      </w:r>
      <w:r w:rsidR="00981F98">
        <w:rPr>
          <w:bCs/>
          <w:sz w:val="22"/>
          <w:szCs w:val="22"/>
        </w:rPr>
        <w:t>JACKSON</w:t>
      </w:r>
      <w:r w:rsidRPr="00C64870">
        <w:rPr>
          <w:bCs/>
          <w:sz w:val="22"/>
          <w:szCs w:val="22"/>
        </w:rPr>
        <w:t xml:space="preserve">. </w:t>
      </w:r>
    </w:p>
    <w:p w:rsidR="00412E81" w:rsidRPr="00C64870" w:rsidRDefault="00412E81" w:rsidP="00412E81">
      <w:pPr>
        <w:pStyle w:val="NormalWeb"/>
        <w:spacing w:before="0" w:beforeAutospacing="0" w:after="0" w:afterAutospacing="0"/>
        <w:ind w:right="144"/>
        <w:rPr>
          <w:bCs/>
          <w:sz w:val="22"/>
          <w:szCs w:val="22"/>
        </w:rPr>
      </w:pPr>
    </w:p>
    <w:p w:rsidR="00412E81" w:rsidRPr="00C64870" w:rsidRDefault="00412E81" w:rsidP="00412E81">
      <w:pPr>
        <w:pStyle w:val="NormalWeb"/>
        <w:spacing w:before="0" w:beforeAutospacing="0" w:after="0" w:afterAutospacing="0"/>
        <w:ind w:right="144"/>
        <w:rPr>
          <w:sz w:val="22"/>
          <w:szCs w:val="22"/>
        </w:rPr>
      </w:pPr>
      <w:r w:rsidRPr="00C64870">
        <w:rPr>
          <w:sz w:val="22"/>
          <w:szCs w:val="22"/>
        </w:rPr>
        <w:t>THESE MATERIALS ARE EXPERIMENTAL IN NATURE AND JACKSON MAKES NO REPRESENTATION AND EXTENDS NO WARRANTIES OF ANY KIND, EITHER EXPRESS OR IMPLIED, INCLUDING ANY IMPLIED WARRANTY OF MERCHANTABILITY OR FITNESS FOR A PARTICULAR PURPOSE, OR ANY WARRANTY OF NON-INFRINGEMENT OF ANY PATENT, TRADEMARK, OR OTHER INTELLECTUAL PROPERTY RIGHTS.</w:t>
      </w:r>
    </w:p>
    <w:p w:rsidR="00412E81" w:rsidRPr="00C64870" w:rsidRDefault="00412E81" w:rsidP="00412E81">
      <w:pPr>
        <w:pStyle w:val="NormalWeb"/>
        <w:spacing w:before="0" w:beforeAutospacing="0" w:after="0" w:afterAutospacing="0"/>
        <w:ind w:right="144"/>
        <w:rPr>
          <w:sz w:val="22"/>
          <w:szCs w:val="22"/>
        </w:rPr>
      </w:pPr>
    </w:p>
    <w:p w:rsidR="00412E81" w:rsidRPr="00C64870" w:rsidRDefault="00412E81" w:rsidP="00412E81">
      <w:pPr>
        <w:pStyle w:val="NormalWeb"/>
        <w:spacing w:before="0" w:beforeAutospacing="0" w:after="0" w:afterAutospacing="0"/>
        <w:ind w:right="144"/>
        <w:rPr>
          <w:sz w:val="22"/>
          <w:szCs w:val="22"/>
        </w:rPr>
      </w:pPr>
      <w:r w:rsidRPr="00C64870">
        <w:rPr>
          <w:sz w:val="22"/>
          <w:szCs w:val="22"/>
        </w:rPr>
        <w:t>In no event shall JACKSON be liable for any use of the Material(s), and Recipient hereby agrees to defend, indemnify and hold JACKSON harmless from any loss, claim, damage, or liability which may arise from Recipient's use, storage and disposal of the Material(s).</w:t>
      </w:r>
    </w:p>
    <w:p w:rsidR="00412E81" w:rsidRPr="00C64870" w:rsidRDefault="00412E81" w:rsidP="00412E81">
      <w:pPr>
        <w:pStyle w:val="NormalWeb"/>
        <w:spacing w:before="0" w:beforeAutospacing="0" w:after="0" w:afterAutospacing="0"/>
        <w:ind w:right="144"/>
        <w:rPr>
          <w:sz w:val="22"/>
          <w:szCs w:val="22"/>
        </w:rPr>
      </w:pPr>
    </w:p>
    <w:p w:rsidR="00412E81" w:rsidRPr="00C64870" w:rsidRDefault="00412E81" w:rsidP="00412E81">
      <w:pPr>
        <w:pStyle w:val="NormalWeb"/>
        <w:spacing w:before="0" w:beforeAutospacing="0" w:after="0" w:afterAutospacing="0"/>
        <w:ind w:right="144"/>
        <w:rPr>
          <w:sz w:val="22"/>
          <w:szCs w:val="22"/>
        </w:rPr>
      </w:pPr>
      <w:r w:rsidRPr="00C64870">
        <w:rPr>
          <w:sz w:val="22"/>
          <w:szCs w:val="22"/>
        </w:rPr>
        <w:t xml:space="preserve">Recipient acknowledges and understands that, as a condition of receipt of the Material, </w:t>
      </w:r>
      <w:r w:rsidR="000E7C81">
        <w:rPr>
          <w:sz w:val="22"/>
          <w:szCs w:val="22"/>
        </w:rPr>
        <w:t>JACKSON</w:t>
      </w:r>
      <w:bookmarkStart w:id="0" w:name="_GoBack"/>
      <w:bookmarkEnd w:id="0"/>
      <w:r w:rsidRPr="00C64870">
        <w:rPr>
          <w:sz w:val="22"/>
          <w:szCs w:val="22"/>
        </w:rPr>
        <w:t xml:space="preserve"> must provide the Dana Farber Cancer Institute with notice that Recipient received the Material and such notice shall identify Recipient.</w:t>
      </w:r>
    </w:p>
    <w:p w:rsidR="00412E81" w:rsidRPr="00C64870" w:rsidRDefault="00412E81" w:rsidP="00412E81">
      <w:pPr>
        <w:pStyle w:val="NormalWeb"/>
        <w:spacing w:before="0" w:beforeAutospacing="0" w:after="0" w:afterAutospacing="0"/>
        <w:ind w:right="144"/>
        <w:rPr>
          <w:sz w:val="22"/>
          <w:szCs w:val="22"/>
        </w:rPr>
      </w:pPr>
    </w:p>
    <w:p w:rsidR="00412E81" w:rsidRPr="00C64870" w:rsidRDefault="00412E81" w:rsidP="00412E81">
      <w:pPr>
        <w:pStyle w:val="NormalWeb"/>
        <w:spacing w:before="0" w:beforeAutospacing="0" w:after="0" w:afterAutospacing="0"/>
        <w:ind w:right="144"/>
        <w:rPr>
          <w:bCs/>
          <w:sz w:val="22"/>
          <w:szCs w:val="22"/>
        </w:rPr>
      </w:pPr>
      <w:r w:rsidRPr="00C64870">
        <w:rPr>
          <w:bCs/>
          <w:sz w:val="22"/>
          <w:szCs w:val="22"/>
        </w:rPr>
        <w:t xml:space="preserve">Acceptance of the Material from </w:t>
      </w:r>
      <w:r w:rsidR="00981F98">
        <w:rPr>
          <w:bCs/>
          <w:sz w:val="22"/>
          <w:szCs w:val="22"/>
        </w:rPr>
        <w:t>JACKSON</w:t>
      </w:r>
      <w:r w:rsidRPr="00C64870">
        <w:rPr>
          <w:bCs/>
          <w:sz w:val="22"/>
          <w:szCs w:val="22"/>
        </w:rPr>
        <w:t xml:space="preserve"> shall be deemed agreement to these terms.</w:t>
      </w:r>
    </w:p>
    <w:p w:rsidR="00412E81" w:rsidRPr="00A564FE" w:rsidRDefault="00412E81" w:rsidP="00412E81"/>
    <w:p w:rsidR="009121DE" w:rsidRDefault="009121DE"/>
    <w:sectPr w:rsidR="009121DE" w:rsidSect="00A22BC7">
      <w:headerReference w:type="default" r:id="rId6"/>
      <w:footerReference w:type="default" r:id="rId7"/>
      <w:pgSz w:w="12240" w:h="15840"/>
      <w:pgMar w:top="1530" w:right="990" w:bottom="117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52E" w:rsidRDefault="00E7152E">
      <w:r>
        <w:separator/>
      </w:r>
    </w:p>
  </w:endnote>
  <w:endnote w:type="continuationSeparator" w:id="0">
    <w:p w:rsidR="00E7152E" w:rsidRDefault="00E71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BC7" w:rsidRDefault="00457927">
    <w:pPr>
      <w:pStyle w:val="Footer"/>
    </w:pPr>
    <w:r>
      <w:tab/>
      <w:t>CONFIDENTIAL</w:t>
    </w:r>
    <w:r>
      <w:tab/>
    </w:r>
  </w:p>
  <w:p w:rsidR="00A22BC7" w:rsidRDefault="00457927">
    <w:pPr>
      <w:pStyle w:val="Footer"/>
      <w:jc w:val="both"/>
    </w:pPr>
    <w:r>
      <w:tab/>
      <w:t xml:space="preserve">Page </w:t>
    </w:r>
    <w:r>
      <w:fldChar w:fldCharType="begin"/>
    </w:r>
    <w:r>
      <w:instrText xml:space="preserve"> PAGE </w:instrText>
    </w:r>
    <w:r>
      <w:fldChar w:fldCharType="separate"/>
    </w:r>
    <w:r w:rsidR="000E7C81">
      <w:rPr>
        <w:noProof/>
      </w:rPr>
      <w:t>1</w:t>
    </w:r>
    <w:r>
      <w:rPr>
        <w:noProof/>
      </w:rPr>
      <w:fldChar w:fldCharType="end"/>
    </w:r>
    <w:r>
      <w:t xml:space="preserve"> of </w:t>
    </w:r>
    <w:fldSimple w:instr=" NUMPAGES ">
      <w:r w:rsidR="000E7C81">
        <w:rPr>
          <w:noProof/>
        </w:rPr>
        <w:t>1</w:t>
      </w:r>
    </w:fldSimple>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52E" w:rsidRDefault="00E7152E">
      <w:r>
        <w:separator/>
      </w:r>
    </w:p>
  </w:footnote>
  <w:footnote w:type="continuationSeparator" w:id="0">
    <w:p w:rsidR="00E7152E" w:rsidRDefault="00E715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5070"/>
      <w:gridCol w:w="5100"/>
    </w:tblGrid>
    <w:tr w:rsidR="00A22BC7">
      <w:tc>
        <w:tcPr>
          <w:tcW w:w="5144" w:type="dxa"/>
        </w:tcPr>
        <w:p w:rsidR="00A22BC7" w:rsidRDefault="00457927" w:rsidP="00A22BC7">
          <w:pPr>
            <w:pStyle w:val="Header"/>
          </w:pPr>
          <w:r>
            <w:rPr>
              <w:noProof/>
            </w:rPr>
            <w:drawing>
              <wp:inline distT="0" distB="0" distL="0" distR="0" wp14:anchorId="534CAD56" wp14:editId="3FA29FF9">
                <wp:extent cx="2120900" cy="1120140"/>
                <wp:effectExtent l="0" t="0" r="0" b="3810"/>
                <wp:docPr id="8" name="Picture 8" descr="Azure:Users:jsmith:Desktop: working:BRANDING:STYLE GUIDES - On Server:NEW:Logo:JAX_Identifiers_FINAL:exports:color:Logo_tag_color_2-5in_600dpi.jpg"/>
                <wp:cNvGraphicFramePr/>
                <a:graphic xmlns:a="http://schemas.openxmlformats.org/drawingml/2006/main">
                  <a:graphicData uri="http://schemas.openxmlformats.org/drawingml/2006/picture">
                    <pic:pic xmlns:pic="http://schemas.openxmlformats.org/drawingml/2006/picture">
                      <pic:nvPicPr>
                        <pic:cNvPr id="8" name="Picture 8" descr="Azure:Users:jsmith:Desktop: working:BRANDING:STYLE GUIDES - On Server:NEW:Logo:JAX_Identifiers_FINAL:exports:color:Logo_tag_color_2-5in_600dpi.jpg"/>
                        <pic:cNvPicPr/>
                      </pic:nvPicPr>
                      <pic:blipFill rotWithShape="1">
                        <a:blip r:embed="rId1">
                          <a:extLst>
                            <a:ext uri="{28A0092B-C50C-407E-A947-70E740481C1C}">
                              <a14:useLocalDpi xmlns:a14="http://schemas.microsoft.com/office/drawing/2010/main" val="0"/>
                            </a:ext>
                          </a:extLst>
                        </a:blip>
                        <a:srcRect l="22" r="-22"/>
                        <a:stretch/>
                      </pic:blipFill>
                      <pic:spPr bwMode="auto">
                        <a:xfrm>
                          <a:off x="0" y="0"/>
                          <a:ext cx="2120900" cy="1120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145" w:type="dxa"/>
        </w:tcPr>
        <w:p w:rsidR="00A22BC7" w:rsidRDefault="00457927" w:rsidP="00A22BC7">
          <w:pPr>
            <w:pStyle w:val="Header"/>
            <w:jc w:val="right"/>
          </w:pPr>
          <w:r>
            <w:rPr>
              <w:noProof/>
            </w:rPr>
            <w:drawing>
              <wp:inline distT="0" distB="0" distL="0" distR="0" wp14:anchorId="5CDFE43A" wp14:editId="14437DEF">
                <wp:extent cx="2517775" cy="792480"/>
                <wp:effectExtent l="0" t="0" r="0" b="0"/>
                <wp:docPr id="2" name="Picture 2"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er"/>
                        <pic:cNvPicPr>
                          <a:picLocks noChangeAspect="1" noChangeArrowheads="1"/>
                        </pic:cNvPicPr>
                      </pic:nvPicPr>
                      <pic:blipFill>
                        <a:blip r:embed="rId2"/>
                        <a:srcRect l="49712"/>
                        <a:stretch>
                          <a:fillRect/>
                        </a:stretch>
                      </pic:blipFill>
                      <pic:spPr bwMode="auto">
                        <a:xfrm>
                          <a:off x="0" y="0"/>
                          <a:ext cx="2517775" cy="792480"/>
                        </a:xfrm>
                        <a:prstGeom prst="rect">
                          <a:avLst/>
                        </a:prstGeom>
                        <a:noFill/>
                        <a:ln w="9525">
                          <a:noFill/>
                          <a:miter lim="800000"/>
                          <a:headEnd/>
                          <a:tailEnd/>
                        </a:ln>
                      </pic:spPr>
                    </pic:pic>
                  </a:graphicData>
                </a:graphic>
              </wp:inline>
            </w:drawing>
          </w:r>
        </w:p>
      </w:tc>
    </w:tr>
  </w:tbl>
  <w:p w:rsidR="00A22BC7" w:rsidRDefault="00E7152E" w:rsidP="00A22B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E81"/>
    <w:rsid w:val="00067455"/>
    <w:rsid w:val="000E7C81"/>
    <w:rsid w:val="002C118D"/>
    <w:rsid w:val="00412E81"/>
    <w:rsid w:val="00457927"/>
    <w:rsid w:val="004753FD"/>
    <w:rsid w:val="009121DE"/>
    <w:rsid w:val="00981F98"/>
    <w:rsid w:val="00A7690C"/>
    <w:rsid w:val="00E5618A"/>
    <w:rsid w:val="00E71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01139-559D-40A2-AF4A-BD6FB9C85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E81"/>
    <w:pPr>
      <w:spacing w:after="0" w:line="240" w:lineRule="auto"/>
    </w:pPr>
    <w:rPr>
      <w:rFonts w:ascii="Arial" w:eastAsia="Times New Roman" w:hAnsi="Arial" w:cs="Arial"/>
      <w:sz w:val="20"/>
      <w:szCs w:val="20"/>
    </w:rPr>
  </w:style>
  <w:style w:type="paragraph" w:styleId="Heading5">
    <w:name w:val="heading 5"/>
    <w:basedOn w:val="Normal"/>
    <w:next w:val="Normal"/>
    <w:link w:val="Heading5Char"/>
    <w:uiPriority w:val="9"/>
    <w:semiHidden/>
    <w:unhideWhenUsed/>
    <w:qFormat/>
    <w:rsid w:val="00412E8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2E81"/>
    <w:pPr>
      <w:tabs>
        <w:tab w:val="center" w:pos="4320"/>
        <w:tab w:val="right" w:pos="8640"/>
      </w:tabs>
    </w:pPr>
  </w:style>
  <w:style w:type="character" w:customStyle="1" w:styleId="HeaderChar">
    <w:name w:val="Header Char"/>
    <w:basedOn w:val="DefaultParagraphFont"/>
    <w:link w:val="Header"/>
    <w:rsid w:val="00412E81"/>
    <w:rPr>
      <w:rFonts w:ascii="Arial" w:eastAsia="Times New Roman" w:hAnsi="Arial" w:cs="Arial"/>
      <w:sz w:val="20"/>
      <w:szCs w:val="20"/>
    </w:rPr>
  </w:style>
  <w:style w:type="paragraph" w:styleId="Footer">
    <w:name w:val="footer"/>
    <w:basedOn w:val="Normal"/>
    <w:link w:val="FooterChar"/>
    <w:rsid w:val="00412E81"/>
    <w:pPr>
      <w:tabs>
        <w:tab w:val="center" w:pos="4320"/>
        <w:tab w:val="right" w:pos="8640"/>
      </w:tabs>
    </w:pPr>
  </w:style>
  <w:style w:type="character" w:customStyle="1" w:styleId="FooterChar">
    <w:name w:val="Footer Char"/>
    <w:basedOn w:val="DefaultParagraphFont"/>
    <w:link w:val="Footer"/>
    <w:rsid w:val="00412E81"/>
    <w:rPr>
      <w:rFonts w:ascii="Arial" w:eastAsia="Times New Roman" w:hAnsi="Arial" w:cs="Arial"/>
      <w:sz w:val="20"/>
      <w:szCs w:val="20"/>
    </w:rPr>
  </w:style>
  <w:style w:type="paragraph" w:styleId="NormalWeb">
    <w:name w:val="Normal (Web)"/>
    <w:basedOn w:val="Normal"/>
    <w:rsid w:val="00412E81"/>
    <w:pPr>
      <w:spacing w:before="100" w:beforeAutospacing="1" w:after="100" w:afterAutospacing="1"/>
    </w:pPr>
    <w:rPr>
      <w:sz w:val="18"/>
      <w:szCs w:val="18"/>
    </w:rPr>
  </w:style>
  <w:style w:type="paragraph" w:customStyle="1" w:styleId="StyleBoldDarkBlueLeft025Right016Linespacing">
    <w:name w:val="Style Bold Dark Blue Left:  0.25&quot; Right:  0.16&quot; Line spacing:  ..."/>
    <w:basedOn w:val="Heading5"/>
    <w:autoRedefine/>
    <w:rsid w:val="00412E81"/>
    <w:pPr>
      <w:keepNext w:val="0"/>
      <w:keepLines w:val="0"/>
      <w:spacing w:before="0" w:line="220" w:lineRule="exact"/>
      <w:ind w:left="360" w:right="230"/>
    </w:pPr>
    <w:rPr>
      <w:rFonts w:ascii="Verdana" w:eastAsia="Times New Roman" w:hAnsi="Verdana" w:cs="Times New Roman"/>
      <w:b/>
      <w:color w:val="000080"/>
      <w:sz w:val="22"/>
    </w:rPr>
  </w:style>
  <w:style w:type="character" w:customStyle="1" w:styleId="Heading5Char">
    <w:name w:val="Heading 5 Char"/>
    <w:basedOn w:val="DefaultParagraphFont"/>
    <w:link w:val="Heading5"/>
    <w:uiPriority w:val="9"/>
    <w:semiHidden/>
    <w:rsid w:val="00412E81"/>
    <w:rPr>
      <w:rFonts w:asciiTheme="majorHAnsi" w:eastAsiaTheme="majorEastAsia" w:hAnsiTheme="majorHAnsi" w:cstheme="majorBidi"/>
      <w:color w:val="2E74B5"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Wells</dc:creator>
  <cp:keywords/>
  <dc:description/>
  <cp:lastModifiedBy>Peter Wells</cp:lastModifiedBy>
  <cp:revision>5</cp:revision>
  <dcterms:created xsi:type="dcterms:W3CDTF">2018-01-11T19:24:00Z</dcterms:created>
  <dcterms:modified xsi:type="dcterms:W3CDTF">2018-01-11T19:53:00Z</dcterms:modified>
</cp:coreProperties>
</file>