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0CD" w:rsidRDefault="0084734B">
      <w:r>
        <w:t>Crypto Fiduciary Powers</w:t>
      </w:r>
    </w:p>
    <w:p w:rsidR="0084734B" w:rsidRDefault="0084734B"/>
    <w:p w:rsidR="0084734B" w:rsidRDefault="0084734B">
      <w:r>
        <w:t>Trust Exhibit A:</w:t>
      </w:r>
    </w:p>
    <w:p w:rsidR="0084734B" w:rsidRPr="0084734B" w:rsidRDefault="0084734B" w:rsidP="0084734B">
      <w:pPr>
        <w:spacing w:before="100" w:beforeAutospacing="1" w:after="100" w:afterAutospacing="1"/>
        <w:ind w:left="720"/>
        <w:rPr>
          <w:rFonts w:eastAsia="Times New Roman" w:cs="Times New Roman"/>
          <w:kern w:val="0"/>
          <w:sz w:val="22"/>
          <w14:ligatures w14:val="none"/>
        </w:rPr>
      </w:pPr>
      <w:r w:rsidRPr="0084734B">
        <w:rPr>
          <w:rFonts w:eastAsia="Times New Roman" w:cs="Times New Roman"/>
          <w:kern w:val="0"/>
          <w:sz w:val="22"/>
          <w14:ligatures w14:val="none"/>
        </w:rPr>
        <w:t>(24)</w:t>
      </w:r>
      <w:r w:rsidRPr="0084734B">
        <w:rPr>
          <w:rFonts w:eastAsia="Times New Roman" w:cs="Times New Roman"/>
          <w:b/>
          <w:bCs/>
          <w:kern w:val="0"/>
          <w:sz w:val="22"/>
          <w14:ligatures w14:val="none"/>
        </w:rPr>
        <w:t xml:space="preserve"> Cryptocurrency &amp; Digital Asset Powers (supplementing ¶¶7 and 10; this provision controls in any conflict).</w:t>
      </w:r>
    </w:p>
    <w:p w:rsidR="0084734B" w:rsidRPr="0084734B" w:rsidRDefault="0084734B" w:rsidP="0084734B">
      <w:pPr>
        <w:ind w:left="1440"/>
        <w:rPr>
          <w:rFonts w:eastAsia="Times New Roman" w:cs="Times New Roman"/>
          <w:kern w:val="0"/>
          <w:sz w:val="22"/>
          <w14:ligatures w14:val="none"/>
        </w:rPr>
      </w:pPr>
      <w:r w:rsidRPr="0084734B">
        <w:rPr>
          <w:rFonts w:eastAsia="Times New Roman" w:cs="Times New Roman"/>
          <w:b/>
          <w:bCs/>
          <w:kern w:val="0"/>
          <w:sz w:val="22"/>
          <w14:ligatures w14:val="none"/>
        </w:rPr>
        <w:t xml:space="preserve">(a) </w:t>
      </w:r>
      <w:r w:rsidRPr="0084734B">
        <w:rPr>
          <w:rFonts w:eastAsia="Times New Roman" w:cs="Times New Roman"/>
          <w:b/>
          <w:bCs/>
          <w:kern w:val="0"/>
          <w:sz w:val="22"/>
          <w14:ligatures w14:val="none"/>
        </w:rPr>
        <w:tab/>
        <w:t>Definitions.</w:t>
      </w:r>
      <w:r w:rsidRPr="0084734B">
        <w:rPr>
          <w:rFonts w:eastAsia="Times New Roman" w:cs="Times New Roman"/>
          <w:kern w:val="0"/>
          <w:sz w:val="22"/>
          <w14:ligatures w14:val="none"/>
        </w:rPr>
        <w:t xml:space="preserve"> For this paragraph:</w:t>
      </w:r>
      <w:r w:rsidRPr="0084734B">
        <w:rPr>
          <w:rFonts w:eastAsia="Times New Roman" w:cs="Times New Roman"/>
          <w:kern w:val="0"/>
          <w:sz w:val="22"/>
          <w14:ligatures w14:val="none"/>
        </w:rPr>
        <w:br/>
      </w:r>
    </w:p>
    <w:p w:rsidR="0084734B" w:rsidRPr="0084734B" w:rsidRDefault="0084734B" w:rsidP="0084734B">
      <w:pPr>
        <w:ind w:left="2160"/>
        <w:rPr>
          <w:rFonts w:eastAsia="Times New Roman" w:cs="Times New Roman"/>
          <w:kern w:val="0"/>
          <w:sz w:val="22"/>
          <w14:ligatures w14:val="none"/>
        </w:rPr>
      </w:pPr>
      <w:r w:rsidRPr="0084734B">
        <w:rPr>
          <w:rFonts w:eastAsia="Times New Roman" w:cs="Times New Roman"/>
          <w:kern w:val="0"/>
          <w:sz w:val="22"/>
          <w14:ligatures w14:val="none"/>
        </w:rPr>
        <w:t>(i) “</w:t>
      </w:r>
      <w:r w:rsidRPr="0084734B">
        <w:rPr>
          <w:rFonts w:eastAsia="Times New Roman" w:cs="Times New Roman"/>
          <w:b/>
          <w:bCs/>
          <w:kern w:val="0"/>
          <w:sz w:val="22"/>
          <w14:ligatures w14:val="none"/>
        </w:rPr>
        <w:t>Crypto Asset</w:t>
      </w:r>
      <w:r w:rsidRPr="0084734B">
        <w:rPr>
          <w:rFonts w:eastAsia="Times New Roman" w:cs="Times New Roman"/>
          <w:kern w:val="0"/>
          <w:sz w:val="22"/>
          <w14:ligatures w14:val="none"/>
        </w:rPr>
        <w:t>” means any blockchain-based asset or right (including cryptocurrency, stablecoins, tokens, wrapped assets, NFTs, DAO tokens, liquid-staking tokens, restaking derivatives, and any on-chain claim), and any proceeds or forks thereof.</w:t>
      </w:r>
      <w:r w:rsidRPr="0084734B">
        <w:rPr>
          <w:rFonts w:eastAsia="Times New Roman" w:cs="Times New Roman"/>
          <w:kern w:val="0"/>
          <w:sz w:val="22"/>
          <w14:ligatures w14:val="none"/>
        </w:rPr>
        <w:br/>
        <w:t>(ii) “</w:t>
      </w:r>
      <w:r w:rsidRPr="0084734B">
        <w:rPr>
          <w:rFonts w:eastAsia="Times New Roman" w:cs="Times New Roman"/>
          <w:b/>
          <w:bCs/>
          <w:kern w:val="0"/>
          <w:sz w:val="22"/>
          <w14:ligatures w14:val="none"/>
        </w:rPr>
        <w:t>Wallet</w:t>
      </w:r>
      <w:r w:rsidRPr="0084734B">
        <w:rPr>
          <w:rFonts w:eastAsia="Times New Roman" w:cs="Times New Roman"/>
          <w:kern w:val="0"/>
          <w:sz w:val="22"/>
          <w14:ligatures w14:val="none"/>
        </w:rPr>
        <w:t>” means any address, account, or arrangement (including hardware, software, MPC, multisig, custodial, or smart-contract wallet) that holds or controls Crypto Assets.</w:t>
      </w:r>
      <w:r w:rsidRPr="0084734B">
        <w:rPr>
          <w:rFonts w:eastAsia="Times New Roman" w:cs="Times New Roman"/>
          <w:kern w:val="0"/>
          <w:sz w:val="22"/>
          <w14:ligatures w14:val="none"/>
        </w:rPr>
        <w:br/>
        <w:t>(iii) “</w:t>
      </w:r>
      <w:r w:rsidRPr="0084734B">
        <w:rPr>
          <w:rFonts w:eastAsia="Times New Roman" w:cs="Times New Roman"/>
          <w:b/>
          <w:bCs/>
          <w:kern w:val="0"/>
          <w:sz w:val="22"/>
          <w14:ligatures w14:val="none"/>
        </w:rPr>
        <w:t>Key Material</w:t>
      </w:r>
      <w:r w:rsidRPr="0084734B">
        <w:rPr>
          <w:rFonts w:eastAsia="Times New Roman" w:cs="Times New Roman"/>
          <w:kern w:val="0"/>
          <w:sz w:val="22"/>
          <w14:ligatures w14:val="none"/>
        </w:rPr>
        <w:t>” means any private key, seed phrase, shard, passcode, recovery method, or credential that confers control or transfer authority.</w:t>
      </w:r>
      <w:r w:rsidRPr="0084734B">
        <w:rPr>
          <w:rFonts w:eastAsia="Times New Roman" w:cs="Times New Roman"/>
          <w:kern w:val="0"/>
          <w:sz w:val="22"/>
          <w14:ligatures w14:val="none"/>
        </w:rPr>
        <w:br/>
        <w:t>(iv) “</w:t>
      </w:r>
      <w:r w:rsidRPr="0084734B">
        <w:rPr>
          <w:rFonts w:eastAsia="Times New Roman" w:cs="Times New Roman"/>
          <w:b/>
          <w:bCs/>
          <w:kern w:val="0"/>
          <w:sz w:val="22"/>
          <w14:ligatures w14:val="none"/>
        </w:rPr>
        <w:t>Custodian</w:t>
      </w:r>
      <w:r w:rsidRPr="0084734B">
        <w:rPr>
          <w:rFonts w:eastAsia="Times New Roman" w:cs="Times New Roman"/>
          <w:kern w:val="0"/>
          <w:sz w:val="22"/>
          <w14:ligatures w14:val="none"/>
        </w:rPr>
        <w:t>” means any exchange or third-party wallet/custody provider.</w:t>
      </w:r>
      <w:r w:rsidRPr="0084734B">
        <w:rPr>
          <w:rFonts w:eastAsia="Times New Roman" w:cs="Times New Roman"/>
          <w:kern w:val="0"/>
          <w:sz w:val="22"/>
          <w14:ligatures w14:val="none"/>
        </w:rPr>
        <w:br/>
        <w:t>(v) “</w:t>
      </w:r>
      <w:r w:rsidRPr="0084734B">
        <w:rPr>
          <w:rFonts w:eastAsia="Times New Roman" w:cs="Times New Roman"/>
          <w:b/>
          <w:bCs/>
          <w:kern w:val="0"/>
          <w:sz w:val="22"/>
          <w14:ligatures w14:val="none"/>
        </w:rPr>
        <w:t>Protocol Action</w:t>
      </w:r>
      <w:r w:rsidRPr="0084734B">
        <w:rPr>
          <w:rFonts w:eastAsia="Times New Roman" w:cs="Times New Roman"/>
          <w:kern w:val="0"/>
          <w:sz w:val="22"/>
          <w14:ligatures w14:val="none"/>
        </w:rPr>
        <w:t>” means any on-chain or off-chain interaction with a blockchain network or smart contract (including transfers, swaps, approvals/allowances, staking/unstaking, delegations, governance voting, claims, bridging, minting, burning, wrapping/unwrapping, providing/removing liquidity, borrowing/lending, and redeeming).</w:t>
      </w:r>
      <w:r w:rsidRPr="0084734B">
        <w:rPr>
          <w:rFonts w:eastAsia="Times New Roman" w:cs="Times New Roman"/>
          <w:kern w:val="0"/>
          <w:sz w:val="22"/>
          <w14:ligatures w14:val="none"/>
        </w:rPr>
        <w:br/>
        <w:t>(vi) “</w:t>
      </w:r>
      <w:r w:rsidRPr="0084734B">
        <w:rPr>
          <w:rFonts w:eastAsia="Times New Roman" w:cs="Times New Roman"/>
          <w:b/>
          <w:bCs/>
          <w:kern w:val="0"/>
          <w:sz w:val="22"/>
          <w14:ligatures w14:val="none"/>
        </w:rPr>
        <w:t>Network Event</w:t>
      </w:r>
      <w:r w:rsidRPr="0084734B">
        <w:rPr>
          <w:rFonts w:eastAsia="Times New Roman" w:cs="Times New Roman"/>
          <w:kern w:val="0"/>
          <w:sz w:val="22"/>
          <w14:ligatures w14:val="none"/>
        </w:rPr>
        <w:t>” means an airdrop, fork, chain split, merge, reorg, token migration, redenomination, or similar event.</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(b) Custody; Key Management.</w:t>
      </w:r>
      <w:r w:rsidRPr="0084734B">
        <w:rPr>
          <w:rFonts w:eastAsia="Times New Roman" w:cs="Times New Roman"/>
          <w:kern w:val="0"/>
          <w:sz w:val="22"/>
          <w14:ligatures w14:val="none"/>
        </w:rPr>
        <w:t xml:space="preserve"> The Trustee may self-custody or use one or more Custodians; create, maintain, rotate, shard, back up, and retire Wallets and Key Material; set and change multisig/MPC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(c) Exchanges, Accounts, and Terms.</w:t>
      </w:r>
      <w:r w:rsidRPr="0084734B">
        <w:rPr>
          <w:rFonts w:eastAsia="Times New Roman" w:cs="Times New Roman"/>
          <w:kern w:val="0"/>
          <w:sz w:val="22"/>
          <w14:ligatures w14:val="none"/>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(d) Protocol Actions; DeFi; Bridges.</w:t>
      </w:r>
      <w:r w:rsidRPr="0084734B">
        <w:rPr>
          <w:rFonts w:eastAsia="Times New Roman" w:cs="Times New Roman"/>
          <w:kern w:val="0"/>
          <w:sz w:val="22"/>
          <w14:ligatures w14:val="none"/>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(e) Staking, Validation, Mining, and Restaking.</w:t>
      </w:r>
      <w:r w:rsidRPr="0084734B">
        <w:rPr>
          <w:rFonts w:eastAsia="Times New Roman" w:cs="Times New Roman"/>
          <w:kern w:val="0"/>
          <w:sz w:val="22"/>
          <w14:ligatures w14:val="none"/>
        </w:rPr>
        <w:t xml:space="preserve"> The Trustee may stake, delegate, compound, and un-stake assets; select validators or run validator infrastructure (directly </w:t>
      </w:r>
      <w:r w:rsidRPr="0084734B">
        <w:rPr>
          <w:rFonts w:eastAsia="Times New Roman" w:cs="Times New Roman"/>
          <w:kern w:val="0"/>
          <w:sz w:val="22"/>
          <w14:ligatures w14:val="none"/>
        </w:rPr>
        <w:lastRenderedPageBreak/>
        <w:t>or via service providers); claim, compound, and restake rewards; participate in slashing-protected or insured programs; and engage in mining or similar activities, including purchasing, leasing, or hosting equipment and paying related costs (hardware, energy, colocation, insurance, maintenance).</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(f) NFTs and Digital Media.</w:t>
      </w:r>
      <w:r w:rsidRPr="0084734B">
        <w:rPr>
          <w:rFonts w:eastAsia="Times New Roman" w:cs="Times New Roman"/>
          <w:kern w:val="0"/>
          <w:sz w:val="22"/>
          <w14:ligatures w14:val="none"/>
        </w:rPr>
        <w:t xml:space="preserve"> The Trustee may mint, buy, sell, list, delist, or fractionalize NFTs; pay for metadata storage or pinning (e.g., IPFS/Arweave); manage or license associated intellectual-property rights and royalties; and take steps to preserve media availability.</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(g) DAOs and Governance.</w:t>
      </w:r>
      <w:r w:rsidRPr="0084734B">
        <w:rPr>
          <w:rFonts w:eastAsia="Times New Roman" w:cs="Times New Roman"/>
          <w:kern w:val="0"/>
          <w:sz w:val="22"/>
          <w14:ligatures w14:val="none"/>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(h) Forks, Airdrops, and Network Events.</w:t>
      </w:r>
      <w:r w:rsidRPr="0084734B">
        <w:rPr>
          <w:rFonts w:eastAsia="Times New Roman" w:cs="Times New Roman"/>
          <w:kern w:val="0"/>
          <w:sz w:val="22"/>
          <w14:ligatures w14:val="none"/>
        </w:rPr>
        <w:t xml:space="preserve"> The Trustee may recognize or disregard a Network Event; claim, abandon, or sell resulting assets; select which chain to support after a split; and perform any required steps (signatures, proofs, snapshots) to perfect title.</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(i) Valuation; Accounting; Allocation.</w:t>
      </w:r>
      <w:r w:rsidRPr="0084734B">
        <w:rPr>
          <w:rFonts w:eastAsia="Times New Roman" w:cs="Times New Roman"/>
          <w:kern w:val="0"/>
          <w:sz w:val="22"/>
          <w14:ligatures w14:val="none"/>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(j) Tax and Reporting.</w:t>
      </w:r>
      <w:r w:rsidRPr="0084734B">
        <w:rPr>
          <w:rFonts w:eastAsia="Times New Roman" w:cs="Times New Roman"/>
          <w:kern w:val="0"/>
          <w:sz w:val="22"/>
          <w14:ligatures w14:val="none"/>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(k) Risk Management; Concentration; Insurance.</w:t>
      </w:r>
      <w:r w:rsidRPr="0084734B">
        <w:rPr>
          <w:rFonts w:eastAsia="Times New Roman" w:cs="Times New Roman"/>
          <w:kern w:val="0"/>
          <w:sz w:val="22"/>
          <w14:ligatures w14:val="none"/>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sidRPr="0084734B">
        <w:rPr>
          <w:rFonts w:eastAsia="Times New Roman" w:cs="Times New Roman"/>
          <w:b/>
          <w:bCs/>
          <w:kern w:val="0"/>
          <w:sz w:val="22"/>
          <w14:ligatures w14:val="none"/>
        </w:rPr>
        <w:t>provided</w:t>
      </w:r>
      <w:r w:rsidRPr="0084734B">
        <w:rPr>
          <w:rFonts w:eastAsia="Times New Roman" w:cs="Times New Roman"/>
          <w:kern w:val="0"/>
          <w:sz w:val="22"/>
          <w14:ligatures w14:val="none"/>
        </w:rPr>
        <w:t xml:space="preserve"> the Trustee acts in good faith and with the care a prudent person would exercise under similar circumstances.</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(l) Compliance.</w:t>
      </w:r>
      <w:r w:rsidRPr="0084734B">
        <w:rPr>
          <w:rFonts w:eastAsia="Times New Roman" w:cs="Times New Roman"/>
          <w:kern w:val="0"/>
          <w:sz w:val="22"/>
          <w14:ligatures w14:val="none"/>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lastRenderedPageBreak/>
        <w:t>(m) Successor Transition; Emergency Actions.</w:t>
      </w:r>
      <w:r w:rsidRPr="0084734B">
        <w:rPr>
          <w:rFonts w:eastAsia="Times New Roman" w:cs="Times New Roman"/>
          <w:kern w:val="0"/>
          <w:sz w:val="22"/>
          <w14:ligatures w14:val="none"/>
        </w:rPr>
        <w:t xml:space="preserve"> The Trustee may maintain a sealed inventory of Wallets and procedures for emergency access; upon resignation, removal, incapacity, or death, may deliver Key Material and control via secure means to a successor, including temporary freeze or timelock measures. The Trustee may appoint agents to assist with emergency recovery.</w:t>
      </w:r>
    </w:p>
    <w:p w:rsidR="0084734B" w:rsidRDefault="0084734B" w:rsidP="0084734B">
      <w:pPr>
        <w:spacing w:before="100" w:beforeAutospacing="1" w:after="100" w:afterAutospacing="1"/>
        <w:ind w:left="1440"/>
        <w:rPr>
          <w:rFonts w:eastAsia="Times New Roman" w:cs="Times New Roman"/>
          <w:kern w:val="0"/>
          <w:sz w:val="22"/>
          <w14:ligatures w14:val="none"/>
        </w:rPr>
      </w:pPr>
      <w:r w:rsidRPr="0084734B">
        <w:rPr>
          <w:rFonts w:eastAsia="Times New Roman" w:cs="Times New Roman"/>
          <w:b/>
          <w:bCs/>
          <w:kern w:val="0"/>
          <w:sz w:val="22"/>
          <w14:ligatures w14:val="none"/>
        </w:rPr>
        <w:t>(n) Delegation.</w:t>
      </w:r>
      <w:r w:rsidRPr="0084734B">
        <w:rPr>
          <w:rFonts w:eastAsia="Times New Roman" w:cs="Times New Roman"/>
          <w:kern w:val="0"/>
          <w:sz w:val="22"/>
          <w14:ligatures w14:val="none"/>
        </w:rPr>
        <w:t xml:space="preserve"> The Trustee may delegate any authority in this paragraph to qualified agents, sub-custodians, validators, administrators, or advisors and rely in good faith on their reports, audits, and attestations.</w:t>
      </w:r>
    </w:p>
    <w:p w:rsidR="0084734B" w:rsidRPr="0084734B" w:rsidRDefault="0084734B" w:rsidP="0084734B">
      <w:pPr>
        <w:spacing w:before="100" w:beforeAutospacing="1" w:after="100" w:afterAutospacing="1"/>
        <w:ind w:left="1440"/>
        <w:rPr>
          <w:rFonts w:eastAsia="Times New Roman" w:cs="Times New Roman"/>
          <w:kern w:val="0"/>
          <w:sz w:val="22"/>
          <w14:ligatures w14:val="none"/>
        </w:rPr>
      </w:pPr>
      <w:r w:rsidRPr="0093731B">
        <w:rPr>
          <w:rFonts w:eastAsia="Times New Roman" w:cs="Times New Roman"/>
          <w:b/>
          <w:bCs/>
          <w:kern w:val="0"/>
          <w:sz w:val="22"/>
          <w14:ligatures w14:val="none"/>
        </w:rPr>
        <w:t>(o) No Admission of Classification.</w:t>
      </w:r>
      <w:r w:rsidRPr="0093731B">
        <w:rPr>
          <w:rFonts w:eastAsia="Times New Roman" w:cs="Times New Roman"/>
          <w:kern w:val="0"/>
          <w:sz w:val="22"/>
          <w14:ligatures w14:val="none"/>
        </w:rPr>
        <w:t xml:space="preserve"> References to “securities,” “commodities,” or similar classifications are for convenience only and shall not be deemed an admission of regulatory status.</w:t>
      </w:r>
    </w:p>
    <w:p w:rsidR="0084734B" w:rsidRDefault="0084734B"/>
    <w:p w:rsidR="0084734B" w:rsidRDefault="0084734B">
      <w:r>
        <w:t>Power of Attorney Enumerated Powers:</w:t>
      </w:r>
    </w:p>
    <w:p w:rsidR="0084734B" w:rsidRDefault="0084734B"/>
    <w:p w:rsidR="0084734B" w:rsidRPr="0084734B" w:rsidRDefault="0084734B" w:rsidP="0084734B">
      <w:pPr>
        <w:numPr>
          <w:ilvl w:val="0"/>
          <w:numId w:val="1"/>
        </w:numPr>
        <w:autoSpaceDE w:val="0"/>
        <w:autoSpaceDN w:val="0"/>
        <w:adjustRightInd w:val="0"/>
        <w:jc w:val="both"/>
        <w:rPr>
          <w:rFonts w:eastAsia="Times New Roman" w:cs="Times New Roman"/>
          <w:kern w:val="0"/>
          <w:szCs w:val="24"/>
          <w14:ligatures w14:val="none"/>
        </w:rPr>
      </w:pPr>
      <w:r w:rsidRPr="0084734B">
        <w:rPr>
          <w:rFonts w:eastAsia="Times New Roman" w:cs="Times New Roman"/>
          <w:kern w:val="0"/>
          <w:szCs w:val="24"/>
          <w14:ligatures w14:val="none"/>
        </w:rPr>
        <w:t xml:space="preserve">Cryptocurrency &amp; Digital Asset Powers (supplementing ¶¶(3), (4), (5), and (8); </w:t>
      </w:r>
      <w:r w:rsidR="00F042CB">
        <w:rPr>
          <w:rFonts w:eastAsia="Times New Roman" w:cs="Times New Roman"/>
          <w:kern w:val="0"/>
          <w:szCs w:val="24"/>
          <w14:ligatures w14:val="none"/>
        </w:rPr>
        <w:t xml:space="preserve">this provision </w:t>
      </w:r>
      <w:r w:rsidRPr="0084734B">
        <w:rPr>
          <w:rFonts w:eastAsia="Times New Roman" w:cs="Times New Roman"/>
          <w:kern w:val="0"/>
          <w:szCs w:val="24"/>
          <w14:ligatures w14:val="none"/>
        </w:rPr>
        <w:t>controls in any conflict).</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(a) Definitions.</w:t>
      </w:r>
      <w:r w:rsidRPr="0084734B">
        <w:rPr>
          <w:rFonts w:eastAsia="Times New Roman" w:cs="Times New Roman"/>
          <w:kern w:val="0"/>
          <w:szCs w:val="24"/>
          <w14:ligatures w14:val="none"/>
        </w:rPr>
        <w:t xml:space="preserve"> For this paragraph: (i) “</w:t>
      </w:r>
      <w:r w:rsidRPr="0084734B">
        <w:rPr>
          <w:rFonts w:eastAsia="Times New Roman" w:cs="Times New Roman"/>
          <w:b/>
          <w:bCs/>
          <w:kern w:val="0"/>
          <w:szCs w:val="24"/>
          <w14:ligatures w14:val="none"/>
        </w:rPr>
        <w:t>Crypto Asset</w:t>
      </w:r>
      <w:r w:rsidRPr="0084734B">
        <w:rPr>
          <w:rFonts w:eastAsia="Times New Roman" w:cs="Times New Roman"/>
          <w:kern w:val="0"/>
          <w:szCs w:val="24"/>
          <w14:ligatures w14:val="none"/>
        </w:rPr>
        <w:t>” means any blockchain-based asset or right (including cryptocurrency, stablecoins, tokens, wrapped assets, NFTs, DAO tokens, liquid-staking tokens, restaking derivatives, and similar interests), and any proceeds or forks thereof; (ii) “</w:t>
      </w:r>
      <w:r w:rsidRPr="0084734B">
        <w:rPr>
          <w:rFonts w:eastAsia="Times New Roman" w:cs="Times New Roman"/>
          <w:b/>
          <w:bCs/>
          <w:kern w:val="0"/>
          <w:szCs w:val="24"/>
          <w14:ligatures w14:val="none"/>
        </w:rPr>
        <w:t>Wallet</w:t>
      </w:r>
      <w:r w:rsidRPr="0084734B">
        <w:rPr>
          <w:rFonts w:eastAsia="Times New Roman" w:cs="Times New Roman"/>
          <w:kern w:val="0"/>
          <w:szCs w:val="24"/>
          <w14:ligatures w14:val="none"/>
        </w:rPr>
        <w:t>” means any address/account or arrangement (hardware, software, MPC, multisig, custodial, or smart-contract wallet) that holds or controls Crypto Assets; (iii) “</w:t>
      </w:r>
      <w:r w:rsidRPr="0084734B">
        <w:rPr>
          <w:rFonts w:eastAsia="Times New Roman" w:cs="Times New Roman"/>
          <w:b/>
          <w:bCs/>
          <w:kern w:val="0"/>
          <w:szCs w:val="24"/>
          <w14:ligatures w14:val="none"/>
        </w:rPr>
        <w:t>Key Material</w:t>
      </w:r>
      <w:r w:rsidRPr="0084734B">
        <w:rPr>
          <w:rFonts w:eastAsia="Times New Roman" w:cs="Times New Roman"/>
          <w:kern w:val="0"/>
          <w:szCs w:val="24"/>
          <w14:ligatures w14:val="none"/>
        </w:rPr>
        <w:t>” means any private key, seed phrase, shard, passcode, recovery method, or credential that confers control; (iv) “</w:t>
      </w:r>
      <w:r w:rsidRPr="0084734B">
        <w:rPr>
          <w:rFonts w:eastAsia="Times New Roman" w:cs="Times New Roman"/>
          <w:b/>
          <w:bCs/>
          <w:kern w:val="0"/>
          <w:szCs w:val="24"/>
          <w14:ligatures w14:val="none"/>
        </w:rPr>
        <w:t>Custodian</w:t>
      </w:r>
      <w:r w:rsidRPr="0084734B">
        <w:rPr>
          <w:rFonts w:eastAsia="Times New Roman" w:cs="Times New Roman"/>
          <w:kern w:val="0"/>
          <w:szCs w:val="24"/>
          <w14:ligatures w14:val="none"/>
        </w:rPr>
        <w:t>” means any exchange or third-party wallet/custody provider; (v) “</w:t>
      </w:r>
      <w:r w:rsidRPr="0084734B">
        <w:rPr>
          <w:rFonts w:eastAsia="Times New Roman" w:cs="Times New Roman"/>
          <w:b/>
          <w:bCs/>
          <w:kern w:val="0"/>
          <w:szCs w:val="24"/>
          <w14:ligatures w14:val="none"/>
        </w:rPr>
        <w:t>Protocol Action</w:t>
      </w:r>
      <w:r w:rsidRPr="0084734B">
        <w:rPr>
          <w:rFonts w:eastAsia="Times New Roman" w:cs="Times New Roman"/>
          <w:kern w:val="0"/>
          <w:szCs w:val="24"/>
          <w14:ligatures w14:val="none"/>
        </w:rPr>
        <w:t>” means any on-chain/off-chain interaction with a blockchain network or smart contract (including transfers, swaps, approvals/allowances, staking/unstaking, delegations, governance voting, claims, bridging, minting, burning, wrapping/unwrapping, providing/removing liquidity, borrowing/lending, and redeeming); and (vi) “</w:t>
      </w:r>
      <w:r w:rsidRPr="0084734B">
        <w:rPr>
          <w:rFonts w:eastAsia="Times New Roman" w:cs="Times New Roman"/>
          <w:b/>
          <w:bCs/>
          <w:kern w:val="0"/>
          <w:szCs w:val="24"/>
          <w14:ligatures w14:val="none"/>
        </w:rPr>
        <w:t>Network Event</w:t>
      </w:r>
      <w:r w:rsidRPr="0084734B">
        <w:rPr>
          <w:rFonts w:eastAsia="Times New Roman" w:cs="Times New Roman"/>
          <w:kern w:val="0"/>
          <w:szCs w:val="24"/>
          <w14:ligatures w14:val="none"/>
        </w:rPr>
        <w:t>” means an airdrop, fork, chain split, merge, reorg, token migration, redenomination, or similar event.</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(b) Custody; Key Management.</w:t>
      </w:r>
      <w:r w:rsidRPr="0084734B">
        <w:rPr>
          <w:rFonts w:eastAsia="Times New Roman" w:cs="Times New Roman"/>
          <w:kern w:val="0"/>
          <w:szCs w:val="24"/>
          <w14:ligatures w14:val="none"/>
        </w:rPr>
        <w:t xml:space="preserve"> My Agent may self-custody or use one or more Custodians; create, maintain, rotate, shard, back up, and retire Wallets and Key Material; set and change multisig/MPC thresholds and signers; conduct key ceremonies; and adopt, implement, and modify security policies (including cold storage, hardware-wallet use, geographic dispersion of backups, and signer whitelists/blacklists). My Agent may withhold Key Material from any person (other than a successor agent) if disclosure would create a material risk of loss; view-only addresses or redacted exhibits may be used for reporting.</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(c) Exchanges, Accounts, and Terms.</w:t>
      </w:r>
      <w:r w:rsidRPr="0084734B">
        <w:rPr>
          <w:rFonts w:eastAsia="Times New Roman" w:cs="Times New Roman"/>
          <w:kern w:val="0"/>
          <w:szCs w:val="24"/>
          <w14:ligatures w14:val="none"/>
        </w:rPr>
        <w:t xml:space="preserve"> My Agent may open, maintain, and close accounts with any Custodian; complete KYC/AML; agree to and rely upon terms </w:t>
      </w:r>
      <w:r w:rsidRPr="0084734B">
        <w:rPr>
          <w:rFonts w:eastAsia="Times New Roman" w:cs="Times New Roman"/>
          <w:kern w:val="0"/>
          <w:szCs w:val="24"/>
          <w14:ligatures w14:val="none"/>
        </w:rPr>
        <w:lastRenderedPageBreak/>
        <w:t>of service; migrate holdings among Wallets and Custodians; and select venues and jurisdictions my Agent deems prudent.</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(d) Protocol Actions; DeFi; Bridges.</w:t>
      </w:r>
      <w:r w:rsidRPr="0084734B">
        <w:rPr>
          <w:rFonts w:eastAsia="Times New Roman" w:cs="Times New Roman"/>
          <w:kern w:val="0"/>
          <w:szCs w:val="24"/>
          <w14:ligatures w14:val="none"/>
        </w:rPr>
        <w:t xml:space="preserve"> My Agent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wrapping/unwrapping assets; and using bridges and cross-chain messaging. My Agent may pay any gas, validator, bridge, or protocol fee from my assets.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(e) Staking, Validation, Mining, and Restaking.</w:t>
      </w:r>
      <w:r w:rsidRPr="0084734B">
        <w:rPr>
          <w:rFonts w:eastAsia="Times New Roman" w:cs="Times New Roman"/>
          <w:kern w:val="0"/>
          <w:szCs w:val="24"/>
          <w14:ligatures w14:val="none"/>
        </w:rPr>
        <w:t xml:space="preserve"> My Agent may stake, delegate, compound, and un-stake assets; select validators or run validator infrastructure (directly or via service providers); claim, compound, and restake rewards; participate in slashing-protected or insured programs; and engage in mining or similar activities, including purchasing, leasing, or hosting equipment and paying related costs.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(f) NFTs and Digital Media.</w:t>
      </w:r>
      <w:r w:rsidRPr="0084734B">
        <w:rPr>
          <w:rFonts w:eastAsia="Times New Roman" w:cs="Times New Roman"/>
          <w:kern w:val="0"/>
          <w:szCs w:val="24"/>
          <w14:ligatures w14:val="none"/>
        </w:rPr>
        <w:t xml:space="preserve"> My Agent may mint, buy, sell, list, delist, or fractionalize NFTs; pay for metadata storage/pinning (e.g., IPFS/Arweave); and manage or license associated intellectual-property rights and royalties.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(g) DAOs and Governance.</w:t>
      </w:r>
      <w:r w:rsidRPr="0084734B">
        <w:rPr>
          <w:rFonts w:eastAsia="Times New Roman" w:cs="Times New Roman"/>
          <w:kern w:val="0"/>
          <w:szCs w:val="24"/>
          <w14:ligatures w14:val="none"/>
        </w:rPr>
        <w:t xml:space="preserve"> My Agent may exercise governance or voting rights (including snapshot/off-chain votes), delegate voting, submit proposals, accept or decline token/NFT airdrops, and take steps necessary to evidence or protect my interests in DAOs or similar organizations.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(h) Forks, Airdrops, and Network Events.</w:t>
      </w:r>
      <w:r w:rsidRPr="0084734B">
        <w:rPr>
          <w:rFonts w:eastAsia="Times New Roman" w:cs="Times New Roman"/>
          <w:kern w:val="0"/>
          <w:szCs w:val="24"/>
          <w14:ligatures w14:val="none"/>
        </w:rPr>
        <w:t xml:space="preserve"> My Agent may recognize or disregard a Network Event; claim, abandon, or sell resulting assets; select which chain to support after a split; and perform steps (signatures, proofs, snapshots) to perfect title.</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(i) Valuation; Records; Allocation.</w:t>
      </w:r>
      <w:r w:rsidRPr="0084734B">
        <w:rPr>
          <w:rFonts w:eastAsia="Times New Roman" w:cs="Times New Roman"/>
          <w:kern w:val="0"/>
          <w:szCs w:val="24"/>
          <w14:ligatures w14:val="none"/>
        </w:rPr>
        <w:t xml:space="preserve"> My Agent may determine valuation methodologies for Crypto Assets (including pricing services, exchange quotes, oracles, or cost/nominal value pending discovery) and maintain reasonable books/records (including wallet inventories and transaction logs). My Agent may allocate receipts and expenses (including gas/fees) between income and principal consistent with applicable law and accounting principles.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(j) Tax and Reporting.</w:t>
      </w:r>
      <w:r w:rsidRPr="0084734B">
        <w:rPr>
          <w:rFonts w:eastAsia="Times New Roman" w:cs="Times New Roman"/>
          <w:kern w:val="0"/>
          <w:szCs w:val="24"/>
          <w14:ligatures w14:val="none"/>
        </w:rPr>
        <w:t xml:space="preserve"> Without limiting ¶(11), my Agent may select and change any reasonable lot-relief/basis method (including specific identification, FIFO, LIFO, or average), engage tax software and blockchain analytics providers, make/revoke tax elections, file required information returns (including with respect to staking/validation rewards, airdrops, forks), and retain experts.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lastRenderedPageBreak/>
        <w:t>(k) Risk Management; Concentration; Insurance.</w:t>
      </w:r>
      <w:r w:rsidRPr="0084734B">
        <w:rPr>
          <w:rFonts w:eastAsia="Times New Roman" w:cs="Times New Roman"/>
          <w:kern w:val="0"/>
          <w:szCs w:val="24"/>
          <w14:ligatures w14:val="none"/>
        </w:rPr>
        <w:t xml:space="preserve"> My Agent may retain concentrated positions in Crypto Assets, is not required to diversify merely due to volatility, and may obtain or decline insurance (including crime, custody, or slashing coverage). My Agent shall not be liable for losses arising from market volatility, exchange/custodian failure, protocol bugs, smart-contract exploits, chain reorganizations, slashing, bridges, or similar crypto-native risks, </w:t>
      </w:r>
      <w:r w:rsidRPr="0084734B">
        <w:rPr>
          <w:rFonts w:eastAsia="Times New Roman" w:cs="Times New Roman"/>
          <w:b/>
          <w:bCs/>
          <w:kern w:val="0"/>
          <w:szCs w:val="24"/>
          <w14:ligatures w14:val="none"/>
        </w:rPr>
        <w:t>provided</w:t>
      </w:r>
      <w:r w:rsidRPr="0084734B">
        <w:rPr>
          <w:rFonts w:eastAsia="Times New Roman" w:cs="Times New Roman"/>
          <w:kern w:val="0"/>
          <w:szCs w:val="24"/>
          <w14:ligatures w14:val="none"/>
        </w:rPr>
        <w:t xml:space="preserve"> my Agent acts in good faith and with the care a prudent person would exercise under similar circumstances.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(l) Compliance.</w:t>
      </w:r>
      <w:r w:rsidRPr="0084734B">
        <w:rPr>
          <w:rFonts w:eastAsia="Times New Roman" w:cs="Times New Roman"/>
          <w:kern w:val="0"/>
          <w:szCs w:val="24"/>
          <w14:ligatures w14:val="none"/>
        </w:rPr>
        <w:t xml:space="preserve"> My Agent may implement commercially reasonable compliance measures (including OFAC/sanctions screening, geofencing, wallet-screening services, and travel-rule compliance via vendors) and may decline any transaction that, in my Agent’s discretion, poses legal, regulatory, or sanction risk.</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(m) Emergency Actions; Recovery; Succession.</w:t>
      </w:r>
      <w:r w:rsidRPr="0084734B">
        <w:rPr>
          <w:rFonts w:eastAsia="Times New Roman" w:cs="Times New Roman"/>
          <w:kern w:val="0"/>
          <w:szCs w:val="24"/>
          <w14:ligatures w14:val="none"/>
        </w:rPr>
        <w:t xml:space="preserve"> My Agent may maintain a sealed inventory of Wallets and recovery procedures; rotate/revoke keys; freeze or timelock Wallets where possible; and deliver Key Material and control via secure means to any successor agent or court-appointed fiduciary.</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(n) Delegation.</w:t>
      </w:r>
      <w:r w:rsidRPr="0084734B">
        <w:rPr>
          <w:rFonts w:eastAsia="Times New Roman" w:cs="Times New Roman"/>
          <w:kern w:val="0"/>
          <w:szCs w:val="24"/>
          <w14:ligatures w14:val="none"/>
        </w:rPr>
        <w:t xml:space="preserve"> My Agent may delegate any authority in this paragraph to qualified agents, sub-custodians, validators, administrators, or advisors and rely in good faith on their reports, audits, and attestations.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(o) No Admission of Classification.</w:t>
      </w:r>
      <w:r w:rsidRPr="0084734B">
        <w:rPr>
          <w:rFonts w:eastAsia="Times New Roman" w:cs="Times New Roman"/>
          <w:kern w:val="0"/>
          <w:szCs w:val="24"/>
          <w14:ligatures w14:val="none"/>
        </w:rPr>
        <w:t xml:space="preserve"> References to “securities,” “commodities,” or similar classifications are for convenience only and shall not be deemed an admission of regulatory status.</w:t>
      </w:r>
    </w:p>
    <w:p w:rsidR="0084734B" w:rsidRPr="0084734B" w:rsidRDefault="0084734B" w:rsidP="0084734B">
      <w:pPr>
        <w:spacing w:before="100" w:beforeAutospacing="1" w:after="100" w:afterAutospacing="1"/>
        <w:ind w:left="1440"/>
        <w:rPr>
          <w:rFonts w:eastAsia="Times New Roman" w:cs="Times New Roman"/>
          <w:kern w:val="0"/>
          <w:szCs w:val="24"/>
          <w14:ligatures w14:val="none"/>
        </w:rPr>
      </w:pPr>
      <w:r w:rsidRPr="0084734B">
        <w:rPr>
          <w:rFonts w:eastAsia="Times New Roman" w:cs="Times New Roman"/>
          <w:b/>
          <w:bCs/>
          <w:kern w:val="0"/>
          <w:szCs w:val="24"/>
          <w14:ligatures w14:val="none"/>
        </w:rPr>
        <w:t>(p) Specific Consent and Direction to Third Parties.</w:t>
      </w:r>
      <w:r w:rsidRPr="0084734B">
        <w:rPr>
          <w:rFonts w:eastAsia="Times New Roman" w:cs="Times New Roman"/>
          <w:kern w:val="0"/>
          <w:szCs w:val="24"/>
          <w14:ligatures w14:val="none"/>
        </w:rPr>
        <w:t xml:space="preserve"> This paragraph is intended as a </w:t>
      </w:r>
      <w:r w:rsidRPr="0084734B">
        <w:rPr>
          <w:rFonts w:eastAsia="Times New Roman" w:cs="Times New Roman"/>
          <w:b/>
          <w:bCs/>
          <w:kern w:val="0"/>
          <w:szCs w:val="24"/>
          <w14:ligatures w14:val="none"/>
        </w:rPr>
        <w:t>specific grant</w:t>
      </w:r>
      <w:r w:rsidRPr="0084734B">
        <w:rPr>
          <w:rFonts w:eastAsia="Times New Roman" w:cs="Times New Roman"/>
          <w:kern w:val="0"/>
          <w:szCs w:val="24"/>
          <w14:ligatures w14:val="none"/>
        </w:rPr>
        <w:t xml:space="preserve"> of authority regarding virtual currency and digital assets and supplements ¶(8). Any Custodian, wallet provider, exchange, protocol, or other third party may rely conclusively on my Agent’s authority under this paragraph to disclose information, open/close accounts, and effect transactions, and my Agent’s written certification shall be sufficient evidence of authority.</w:t>
      </w:r>
    </w:p>
    <w:p w:rsidR="0084734B" w:rsidRDefault="0084734B"/>
    <w:sectPr w:rsidR="00847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5A4E"/>
    <w:multiLevelType w:val="hybridMultilevel"/>
    <w:tmpl w:val="30663736"/>
    <w:lvl w:ilvl="0" w:tplc="A606E8C2">
      <w:start w:val="19"/>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58950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4B"/>
    <w:rsid w:val="00111885"/>
    <w:rsid w:val="00161016"/>
    <w:rsid w:val="00805748"/>
    <w:rsid w:val="0084734B"/>
    <w:rsid w:val="00DB60DF"/>
    <w:rsid w:val="00F042CB"/>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FF2B"/>
  <w15:chartTrackingRefBased/>
  <w15:docId w15:val="{022EEBCF-D497-49BD-B49F-C2C6E8B6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rPr>
      <w:rFonts w:ascii="Times New Roman" w:hAnsi="Times New Roman"/>
      <w:sz w:val="24"/>
    </w:rPr>
  </w:style>
  <w:style w:type="paragraph" w:styleId="Heading1">
    <w:name w:val="heading 1"/>
    <w:basedOn w:val="Normal"/>
    <w:next w:val="Normal"/>
    <w:link w:val="Heading1Char"/>
    <w:uiPriority w:val="9"/>
    <w:qFormat/>
    <w:rsid w:val="00847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34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3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73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473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73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73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73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34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84734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84734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4734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4734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4734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473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3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3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734B"/>
    <w:rPr>
      <w:rFonts w:ascii="Times New Roman" w:hAnsi="Times New Roman"/>
      <w:i/>
      <w:iCs/>
      <w:color w:val="404040" w:themeColor="text1" w:themeTint="BF"/>
      <w:sz w:val="24"/>
    </w:rPr>
  </w:style>
  <w:style w:type="paragraph" w:styleId="ListParagraph">
    <w:name w:val="List Paragraph"/>
    <w:basedOn w:val="Normal"/>
    <w:uiPriority w:val="34"/>
    <w:qFormat/>
    <w:rsid w:val="0084734B"/>
    <w:pPr>
      <w:ind w:left="720"/>
      <w:contextualSpacing/>
    </w:pPr>
  </w:style>
  <w:style w:type="character" w:styleId="IntenseEmphasis">
    <w:name w:val="Intense Emphasis"/>
    <w:basedOn w:val="DefaultParagraphFont"/>
    <w:uiPriority w:val="21"/>
    <w:qFormat/>
    <w:rsid w:val="0084734B"/>
    <w:rPr>
      <w:i/>
      <w:iCs/>
      <w:color w:val="2F5496" w:themeColor="accent1" w:themeShade="BF"/>
    </w:rPr>
  </w:style>
  <w:style w:type="paragraph" w:styleId="IntenseQuote">
    <w:name w:val="Intense Quote"/>
    <w:basedOn w:val="Normal"/>
    <w:next w:val="Normal"/>
    <w:link w:val="IntenseQuoteChar"/>
    <w:uiPriority w:val="30"/>
    <w:qFormat/>
    <w:rsid w:val="00847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34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8473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1838</Words>
  <Characters>11899</Characters>
  <Application>Microsoft Office Word</Application>
  <DocSecurity>0</DocSecurity>
  <Lines>201</Lines>
  <Paragraphs>47</Paragraphs>
  <ScaleCrop>false</ScaleCrop>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2</cp:revision>
  <dcterms:created xsi:type="dcterms:W3CDTF">2025-09-08T17:50:00Z</dcterms:created>
  <dcterms:modified xsi:type="dcterms:W3CDTF">2025-09-08T17:52:00Z</dcterms:modified>
</cp:coreProperties>
</file>