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52E6" w14:textId="1620EE25" w:rsidR="00FB60CD" w:rsidRDefault="00FF325B">
      <w:r>
        <w:t>Definitions</w:t>
      </w:r>
    </w:p>
    <w:p w14:paraId="085CC302" w14:textId="69B1D4BA" w:rsidR="00FF325B" w:rsidRDefault="00FF325B"/>
    <w:p w14:paraId="663ADBD4" w14:textId="0BE82882" w:rsidR="00FF325B" w:rsidRDefault="00FF325B">
      <w:pPr>
        <w:rPr>
          <w:rFonts w:eastAsia="Times New Roman" w:cs="Times New Roman"/>
          <w:szCs w:val="24"/>
        </w:rPr>
      </w:pPr>
      <w:r w:rsidRPr="00FF325B">
        <w:rPr>
          <w:rFonts w:eastAsia="Times New Roman" w:cs="Times New Roman"/>
          <w:i/>
          <w:iCs/>
          <w:szCs w:val="24"/>
        </w:rPr>
        <w:t>Liquid Estate</w:t>
      </w:r>
      <w:r w:rsidRPr="00FF325B">
        <w:rPr>
          <w:rFonts w:eastAsia="Times New Roman" w:cs="Times New Roman"/>
          <w:szCs w:val="24"/>
        </w:rPr>
        <w:t xml:space="preserve">.  </w:t>
      </w:r>
      <w:r w:rsidR="00673B29" w:rsidRPr="00673B29">
        <w:rPr>
          <w:rFonts w:eastAsia="Times New Roman" w:cs="Times New Roman"/>
          <w:szCs w:val="24"/>
        </w:rPr>
        <w:t>As used in this instrument, the term “Liquid Estate” means those of my cash and cash-equivalent assets—including bank accounts, brokerage accounts, and retirement accounts—that become part of the Trust Estate by reason of (a) transfer to the Trust during my lifetime, or (b) the Trust being designated as the pay-on-death, transfer-on-death, or beneficiary recipient of such accounts at my death.</w:t>
      </w:r>
    </w:p>
    <w:p w14:paraId="3EAADC58" w14:textId="3BD3ED44" w:rsidR="00FF325B" w:rsidRDefault="00FF325B">
      <w:pPr>
        <w:rPr>
          <w:rFonts w:eastAsia="Times New Roman" w:cs="Times New Roman"/>
          <w:szCs w:val="24"/>
        </w:rPr>
      </w:pPr>
    </w:p>
    <w:p w14:paraId="20D037DE" w14:textId="34F24075" w:rsidR="00FF325B" w:rsidRDefault="00FF325B" w:rsidP="00FF325B">
      <w:r w:rsidRPr="002D10A1">
        <w:rPr>
          <w:i/>
          <w:iCs/>
        </w:rPr>
        <w:t>Pets</w:t>
      </w:r>
      <w:r w:rsidRPr="002D10A1">
        <w:t>. A pet shall consist of one animal, except in the case of a community of animals where the individuals may be difficult to discern from one another and which are together treated as a unit for purposes of cleaning, feeding, and maintaining the community, such as an aquarium. Such a community shall be treated as the equivalent of one pet, so long as doing so does not place an unreasonable financial burden on the beneficiary of a pet bequest.</w:t>
      </w:r>
    </w:p>
    <w:p w14:paraId="4C42269D" w14:textId="3AF9A10B" w:rsidR="00FF325B" w:rsidRDefault="00FF325B"/>
    <w:p w14:paraId="15A3FEDC" w14:textId="035FCF0F" w:rsidR="0042148E" w:rsidRDefault="0042148E">
      <w:r>
        <w:rPr>
          <w:i/>
          <w:iCs/>
        </w:rPr>
        <w:t xml:space="preserve">Incapacity </w:t>
      </w:r>
      <w:r>
        <w:t xml:space="preserve">(see </w:t>
      </w:r>
      <w:r w:rsidR="001E3AF2">
        <w:t>“I</w:t>
      </w:r>
      <w:r>
        <w:t>ncapacity</w:t>
      </w:r>
      <w:r w:rsidR="001E3AF2">
        <w:t xml:space="preserve"> Provision”</w:t>
      </w:r>
      <w:r>
        <w:t xml:space="preserve"> file)</w:t>
      </w:r>
    </w:p>
    <w:p w14:paraId="0D9725A1" w14:textId="7A8B4749" w:rsidR="00916272" w:rsidRDefault="00916272"/>
    <w:p w14:paraId="4C3AA565" w14:textId="6FFF5393" w:rsidR="00916272" w:rsidRDefault="00916272">
      <w:bookmarkStart w:id="0" w:name="_Hlk121497963"/>
      <w:r w:rsidRPr="00916272">
        <w:rPr>
          <w:i/>
          <w:iCs/>
        </w:rPr>
        <w:t>Per Capita</w:t>
      </w:r>
      <w:r>
        <w:t xml:space="preserve">. Whenever a distribution is to be made “per capita,” the assets are to be divided into as many shares as there are then-living individuals in the designated class of beneficiaries. If a member of the designated class </w:t>
      </w:r>
      <w:r w:rsidR="00500FC5">
        <w:t>ha</w:t>
      </w:r>
      <w:r>
        <w:t>s pre-deceased,</w:t>
      </w:r>
      <w:r w:rsidR="00500FC5">
        <w:t xml:space="preserve"> or passed away prior to full distribution of their share,</w:t>
      </w:r>
      <w:r>
        <w:t xml:space="preserve"> then that share shall be reallocated </w:t>
      </w:r>
      <w:r w:rsidR="00CF7C8B">
        <w:t>pro rata</w:t>
      </w:r>
      <w:r>
        <w:t xml:space="preserve"> amongst the surviving class members.</w:t>
      </w:r>
      <w:bookmarkEnd w:id="0"/>
      <w:r>
        <w:t xml:space="preserve"> </w:t>
      </w:r>
    </w:p>
    <w:p w14:paraId="65EC9A46" w14:textId="77777777" w:rsidR="002A3034" w:rsidRDefault="002A3034"/>
    <w:p w14:paraId="08EC1473" w14:textId="63D9429D" w:rsidR="002A3034" w:rsidRDefault="002A3034">
      <w:r w:rsidRPr="002A3034">
        <w:rPr>
          <w:i/>
          <w:iCs/>
        </w:rPr>
        <w:t>Primary Residence.</w:t>
      </w:r>
      <w:r>
        <w:t xml:space="preserve"> My primary residence shall be the residence I inhabited</w:t>
      </w:r>
      <w:r w:rsidRPr="00123B1F">
        <w:t xml:space="preserve"> prior to my becoming a patient in a hospital,</w:t>
      </w:r>
      <w:r w:rsidRPr="002C08AB">
        <w:t xml:space="preserve"> </w:t>
      </w:r>
      <w:r w:rsidRPr="00123B1F">
        <w:t>or a</w:t>
      </w:r>
      <w:r w:rsidRPr="002C08AB">
        <w:t xml:space="preserve"> </w:t>
      </w:r>
      <w:r w:rsidRPr="00123B1F">
        <w:t xml:space="preserve">resident in a </w:t>
      </w:r>
      <w:r>
        <w:t xml:space="preserve">rehabilitation center, </w:t>
      </w:r>
      <w:r w:rsidRPr="00123B1F">
        <w:t xml:space="preserve">nursing home, convalescent home, </w:t>
      </w:r>
      <w:r>
        <w:t xml:space="preserve">or </w:t>
      </w:r>
      <w:r w:rsidRPr="00123B1F">
        <w:t>assisted living</w:t>
      </w:r>
      <w:r w:rsidRPr="002C08AB">
        <w:t xml:space="preserve"> </w:t>
      </w:r>
      <w:r w:rsidRPr="00123B1F">
        <w:t>facility</w:t>
      </w:r>
      <w:r w:rsidRPr="002C08AB">
        <w:t xml:space="preserve"> </w:t>
      </w:r>
      <w:r w:rsidRPr="00123B1F">
        <w:t xml:space="preserve">as defined in </w:t>
      </w:r>
      <w:r>
        <w:t xml:space="preserve">Va. Code </w:t>
      </w:r>
      <w:r w:rsidRPr="00123B1F">
        <w:t>§ 63.2-100, or any other similar institution</w:t>
      </w:r>
    </w:p>
    <w:p w14:paraId="729D7C18" w14:textId="77777777" w:rsidR="005C345D" w:rsidRDefault="005C345D"/>
    <w:p w14:paraId="2BFCCEDD" w14:textId="54735CFF" w:rsidR="005C345D" w:rsidRDefault="005C345D">
      <w:r>
        <w:rPr>
          <w:i/>
          <w:iCs/>
        </w:rPr>
        <w:t>Retirement Account.</w:t>
      </w:r>
      <w:r>
        <w:t xml:space="preserve"> </w:t>
      </w:r>
      <w:proofErr w:type="gramStart"/>
      <w:r w:rsidRPr="005C345D">
        <w:t>“</w:t>
      </w:r>
      <w:proofErr w:type="gramEnd"/>
      <w:r w:rsidRPr="005C345D">
        <w:t>Retirement Account” means any plan, account, or arrangement that is tax-deferred or tax-qualified under the Internal Revenue Code, including, without limitation, any individual retirement account (IRA), Roth IRA, 401(k) plan, profit-sharing plan, pension plan, 403(b) plan, 457(b) plan, annuity, or any similar arrangement, whether now existing or hereafter established.</w:t>
      </w:r>
    </w:p>
    <w:p w14:paraId="772A2553" w14:textId="77777777" w:rsidR="00F62387" w:rsidRDefault="00F62387"/>
    <w:p w14:paraId="3238C270" w14:textId="72D8D88C" w:rsidR="00F62387" w:rsidRPr="00F62387" w:rsidRDefault="0025620F" w:rsidP="00F62387">
      <w:pPr>
        <w:keepNext/>
        <w:keepLines/>
        <w:numPr>
          <w:ilvl w:val="2"/>
          <w:numId w:val="0"/>
        </w:numPr>
        <w:tabs>
          <w:tab w:val="num" w:pos="1800"/>
        </w:tabs>
        <w:spacing w:before="240" w:after="120"/>
        <w:ind w:left="1800" w:hanging="1800"/>
        <w:outlineLvl w:val="1"/>
        <w:rPr>
          <w:rFonts w:ascii="Arial" w:eastAsia="Times New Roman" w:hAnsi="Arial" w:cs="Times New Roman"/>
          <w:b/>
          <w:i/>
          <w:iCs/>
          <w:szCs w:val="20"/>
        </w:rPr>
      </w:pPr>
      <w:bookmarkStart w:id="1" w:name="_Ref5155314"/>
      <w:bookmarkStart w:id="2" w:name="_Toc166748131"/>
      <w:r>
        <w:rPr>
          <w:rFonts w:ascii="Arial" w:eastAsia="Times New Roman" w:hAnsi="Arial" w:cs="Times New Roman"/>
          <w:b/>
          <w:i/>
          <w:iCs/>
          <w:szCs w:val="20"/>
        </w:rPr>
        <w:t xml:space="preserve">Per Capita at Each Generation </w:t>
      </w:r>
      <w:r w:rsidR="00F62387" w:rsidRPr="00F62387">
        <w:rPr>
          <w:rFonts w:ascii="Arial" w:eastAsia="Times New Roman" w:hAnsi="Arial" w:cs="Times New Roman"/>
          <w:b/>
          <w:i/>
          <w:iCs/>
          <w:szCs w:val="20"/>
        </w:rPr>
        <w:t>Division of Residue language</w:t>
      </w:r>
    </w:p>
    <w:p w14:paraId="4688218C" w14:textId="5FE6594C" w:rsidR="00F62387" w:rsidRPr="00F62387" w:rsidRDefault="00F62387" w:rsidP="00F62387">
      <w:pPr>
        <w:keepNext/>
        <w:keepLines/>
        <w:numPr>
          <w:ilvl w:val="2"/>
          <w:numId w:val="0"/>
        </w:numPr>
        <w:tabs>
          <w:tab w:val="num" w:pos="1800"/>
        </w:tabs>
        <w:spacing w:before="240" w:after="120"/>
        <w:ind w:left="1800" w:hanging="1800"/>
        <w:outlineLvl w:val="1"/>
        <w:rPr>
          <w:rFonts w:ascii="Arial" w:eastAsia="Times New Roman" w:hAnsi="Arial" w:cs="Times New Roman"/>
          <w:b/>
          <w:szCs w:val="20"/>
        </w:rPr>
      </w:pPr>
      <w:r w:rsidRPr="00F62387">
        <w:rPr>
          <w:rFonts w:ascii="Arial" w:eastAsia="Times New Roman" w:hAnsi="Arial" w:cs="Times New Roman"/>
          <w:b/>
          <w:szCs w:val="20"/>
        </w:rPr>
        <w:t>Division of My Trust Property</w:t>
      </w:r>
      <w:bookmarkEnd w:id="1"/>
      <w:bookmarkEnd w:id="2"/>
    </w:p>
    <w:p w14:paraId="6F7BD00C" w14:textId="77777777" w:rsidR="00F62387" w:rsidRPr="00F62387" w:rsidRDefault="00F62387" w:rsidP="00F62387">
      <w:pPr>
        <w:spacing w:before="120" w:after="120"/>
        <w:jc w:val="both"/>
        <w:rPr>
          <w:rFonts w:eastAsia="Times New Roman" w:cs="Times New Roman"/>
          <w:szCs w:val="20"/>
        </w:rPr>
      </w:pPr>
      <w:r w:rsidRPr="00F62387">
        <w:rPr>
          <w:rFonts w:eastAsia="Times New Roman" w:cs="Times New Roman"/>
          <w:szCs w:val="20"/>
        </w:rPr>
        <w:t>My Trustee shall divide my remaining trust property into separate shares for my descendants,</w:t>
      </w:r>
      <w:r w:rsidRPr="00F62387">
        <w:rPr>
          <w:rFonts w:eastAsia="Times New Roman" w:cs="Times New Roman"/>
          <w:i/>
          <w:iCs/>
          <w:szCs w:val="20"/>
        </w:rPr>
        <w:t xml:space="preserve"> per capita at each generation</w:t>
      </w:r>
      <w:r w:rsidRPr="00F62387">
        <w:rPr>
          <w:rFonts w:eastAsia="Times New Roman" w:cs="Times New Roman"/>
          <w:szCs w:val="20"/>
        </w:rPr>
        <w:t xml:space="preserve">. </w:t>
      </w:r>
      <w:bookmarkStart w:id="3" w:name="_Hlk185500708"/>
      <w:r w:rsidRPr="00F62387">
        <w:rPr>
          <w:rFonts w:eastAsia="Times New Roman" w:cs="Times New Roman"/>
          <w:szCs w:val="20"/>
        </w:rPr>
        <w:t>The intent of this provision is to ensure that children are treated equally respective to each other as a group, and grandchildren are treated equally respective to each other as a group, because I have a large family.</w:t>
      </w:r>
      <w:bookmarkEnd w:id="3"/>
    </w:p>
    <w:p w14:paraId="7BE9548B" w14:textId="77777777" w:rsidR="00F62387" w:rsidRPr="00F62387" w:rsidRDefault="00F62387" w:rsidP="00F62387">
      <w:pPr>
        <w:keepNext/>
        <w:keepLines/>
        <w:numPr>
          <w:ilvl w:val="3"/>
          <w:numId w:val="0"/>
        </w:numPr>
        <w:tabs>
          <w:tab w:val="num" w:pos="1440"/>
        </w:tabs>
        <w:spacing w:before="120" w:after="120"/>
        <w:ind w:left="1440" w:right="720" w:hanging="720"/>
        <w:outlineLvl w:val="2"/>
        <w:rPr>
          <w:rFonts w:ascii="Arial" w:eastAsia="Times New Roman" w:hAnsi="Arial" w:cs="Times New Roman"/>
          <w:b/>
          <w:szCs w:val="20"/>
        </w:rPr>
      </w:pPr>
    </w:p>
    <w:p w14:paraId="415D3FD3" w14:textId="77777777" w:rsidR="00F62387" w:rsidRPr="00F62387" w:rsidRDefault="00F62387" w:rsidP="00F62387">
      <w:pPr>
        <w:keepNext/>
        <w:keepLines/>
        <w:numPr>
          <w:ilvl w:val="3"/>
          <w:numId w:val="0"/>
        </w:numPr>
        <w:tabs>
          <w:tab w:val="num" w:pos="1440"/>
        </w:tabs>
        <w:spacing w:before="120" w:after="120"/>
        <w:ind w:left="1440" w:right="720" w:hanging="720"/>
        <w:outlineLvl w:val="2"/>
        <w:rPr>
          <w:rFonts w:ascii="Arial" w:eastAsia="Times New Roman" w:hAnsi="Arial" w:cs="Times New Roman"/>
          <w:b/>
          <w:i/>
          <w:iCs/>
          <w:szCs w:val="20"/>
        </w:rPr>
      </w:pPr>
      <w:r w:rsidRPr="00F62387">
        <w:rPr>
          <w:rFonts w:ascii="Arial" w:eastAsia="Times New Roman" w:hAnsi="Arial" w:cs="Times New Roman"/>
          <w:b/>
          <w:i/>
          <w:iCs/>
          <w:szCs w:val="20"/>
        </w:rPr>
        <w:t>Definition language</w:t>
      </w:r>
    </w:p>
    <w:p w14:paraId="316647B6" w14:textId="77777777" w:rsidR="00F62387" w:rsidRPr="00F62387" w:rsidRDefault="00F62387" w:rsidP="00F62387">
      <w:pPr>
        <w:keepNext/>
        <w:keepLines/>
        <w:numPr>
          <w:ilvl w:val="3"/>
          <w:numId w:val="0"/>
        </w:numPr>
        <w:tabs>
          <w:tab w:val="num" w:pos="1440"/>
        </w:tabs>
        <w:spacing w:before="120" w:after="120"/>
        <w:ind w:left="1440" w:right="720" w:hanging="720"/>
        <w:outlineLvl w:val="2"/>
        <w:rPr>
          <w:rFonts w:ascii="Arial" w:eastAsia="Times New Roman" w:hAnsi="Arial" w:cs="Times New Roman"/>
          <w:b/>
          <w:szCs w:val="20"/>
        </w:rPr>
      </w:pPr>
      <w:r w:rsidRPr="00F62387">
        <w:rPr>
          <w:rFonts w:ascii="Arial" w:eastAsia="Times New Roman" w:hAnsi="Arial" w:cs="Times New Roman"/>
          <w:b/>
          <w:szCs w:val="20"/>
        </w:rPr>
        <w:t>Per Capita at Each Generation</w:t>
      </w:r>
    </w:p>
    <w:p w14:paraId="3BD9E496" w14:textId="77777777" w:rsidR="00F62387" w:rsidRPr="00F62387" w:rsidRDefault="00F62387" w:rsidP="00F62387">
      <w:pPr>
        <w:spacing w:before="120" w:after="120"/>
        <w:ind w:left="720" w:right="720"/>
        <w:jc w:val="both"/>
        <w:rPr>
          <w:rFonts w:eastAsia="Times New Roman" w:cs="Times New Roman"/>
          <w:szCs w:val="20"/>
        </w:rPr>
      </w:pPr>
      <w:bookmarkStart w:id="4" w:name="_Hlk185500761"/>
      <w:r w:rsidRPr="00F62387">
        <w:rPr>
          <w:rFonts w:eastAsia="Times New Roman" w:cs="Times New Roman"/>
          <w:szCs w:val="20"/>
        </w:rPr>
        <w:t xml:space="preserve">Whenever a distribution is to be made to a person’s descendants </w:t>
      </w:r>
      <w:r w:rsidRPr="00F62387">
        <w:rPr>
          <w:rFonts w:eastAsia="Times New Roman" w:cs="Times New Roman"/>
          <w:i/>
          <w:szCs w:val="20"/>
        </w:rPr>
        <w:t>per capita at each generation</w:t>
      </w:r>
      <w:r w:rsidRPr="00F62387">
        <w:rPr>
          <w:rFonts w:eastAsia="Times New Roman" w:cs="Times New Roman"/>
          <w:szCs w:val="20"/>
        </w:rPr>
        <w:t xml:space="preserve">, the distribution will be divided into as many equal shares as there are </w:t>
      </w:r>
      <w:r w:rsidRPr="00F62387">
        <w:rPr>
          <w:rFonts w:eastAsia="Times New Roman" w:cs="Times New Roman"/>
          <w:szCs w:val="20"/>
        </w:rPr>
        <w:lastRenderedPageBreak/>
        <w:t>then-living descendants in the nearest degree of kinship to the designated ancestor and then-deceased descendants in the same degree who left then-living descendants, with each then-living descendant in the nearest degree receiving one share.  Any remaining shares will then be combined and divided in the same manner among the then-living descendants of the deceased descendants, as if the then-living descendants who received a share and their descendants had predeceased the date of distribution.</w:t>
      </w:r>
      <w:bookmarkEnd w:id="4"/>
    </w:p>
    <w:p w14:paraId="312335AB" w14:textId="77777777" w:rsidR="00F62387" w:rsidRPr="00F62387" w:rsidRDefault="00F62387" w:rsidP="00F62387">
      <w:pPr>
        <w:rPr>
          <w:kern w:val="2"/>
          <w14:ligatures w14:val="standardContextual"/>
        </w:rPr>
      </w:pPr>
    </w:p>
    <w:p w14:paraId="50E2C12E" w14:textId="77777777" w:rsidR="007F5EA1" w:rsidRDefault="007F5EA1" w:rsidP="007F5EA1">
      <w:pPr>
        <w:pStyle w:val="NormalWeb"/>
      </w:pPr>
      <w:r>
        <w:rPr>
          <w:rStyle w:val="Strong"/>
        </w:rPr>
        <w:t>“Unitrust” Definition.</w:t>
      </w:r>
      <w:r>
        <w:br/>
        <w:t xml:space="preserve">For purposes of this Trust, the term </w:t>
      </w:r>
      <w:r w:rsidRPr="007F5EA1">
        <w:rPr>
          <w:rStyle w:val="Strong"/>
          <w:b w:val="0"/>
          <w:bCs w:val="0"/>
        </w:rPr>
        <w:t>“unitrust”</w:t>
      </w:r>
      <w:r>
        <w:t xml:space="preserve"> means a trust or separate trust share from which the </w:t>
      </w:r>
      <w:r w:rsidRPr="007F5EA1">
        <w:rPr>
          <w:rStyle w:val="Strong"/>
          <w:b w:val="0"/>
          <w:bCs w:val="0"/>
        </w:rPr>
        <w:t>unitrust amount</w:t>
      </w:r>
      <w:r>
        <w:t>—a fixed percentage of the net fair market value of the trust assets—is distributed each year to or for the benefit of the income beneficiary in satisfaction of the beneficiary’s right to income.</w:t>
      </w:r>
    </w:p>
    <w:p w14:paraId="2619DE06" w14:textId="77777777" w:rsidR="007F5EA1" w:rsidRDefault="007F5EA1" w:rsidP="007F5EA1">
      <w:pPr>
        <w:pStyle w:val="NormalWeb"/>
      </w:pPr>
      <w:r>
        <w:t>(a)</w:t>
      </w:r>
      <w:r>
        <w:t> </w:t>
      </w:r>
      <w:r>
        <w:rPr>
          <w:rStyle w:val="Strong"/>
        </w:rPr>
        <w:t>Percentage and Valuation.</w:t>
      </w:r>
      <w:r>
        <w:t xml:space="preserve"> The </w:t>
      </w:r>
      <w:r w:rsidRPr="007F5EA1">
        <w:rPr>
          <w:rStyle w:val="Strong"/>
          <w:b w:val="0"/>
          <w:bCs w:val="0"/>
        </w:rPr>
        <w:t>unitrust amount</w:t>
      </w:r>
      <w:r w:rsidRPr="007F5EA1">
        <w:rPr>
          <w:b/>
          <w:bCs/>
        </w:rPr>
        <w:t xml:space="preserve"> </w:t>
      </w:r>
      <w:r w:rsidRPr="007F5EA1">
        <w:t>shall equal</w:t>
      </w:r>
      <w:r w:rsidRPr="007F5EA1">
        <w:rPr>
          <w:b/>
          <w:bCs/>
        </w:rPr>
        <w:t xml:space="preserve"> </w:t>
      </w:r>
      <w:r w:rsidRPr="007F5EA1">
        <w:rPr>
          <w:rStyle w:val="Strong"/>
          <w:b w:val="0"/>
          <w:bCs w:val="0"/>
        </w:rPr>
        <w:t>five percent (5%)</w:t>
      </w:r>
      <w:r w:rsidRPr="007F5EA1">
        <w:rPr>
          <w:b/>
          <w:bCs/>
        </w:rPr>
        <w:t xml:space="preserve"> </w:t>
      </w:r>
      <w:r w:rsidRPr="007F5EA1">
        <w:t>of the</w:t>
      </w:r>
      <w:r w:rsidRPr="007F5EA1">
        <w:rPr>
          <w:b/>
          <w:bCs/>
        </w:rPr>
        <w:t xml:space="preserve"> </w:t>
      </w:r>
      <w:r w:rsidRPr="007F5EA1">
        <w:rPr>
          <w:rStyle w:val="Strong"/>
          <w:b w:val="0"/>
          <w:bCs w:val="0"/>
        </w:rPr>
        <w:t>net fair market value</w:t>
      </w:r>
      <w:r>
        <w:t xml:space="preserve"> of the trust assets as of the first day of each taxable year of the trust (or, if such day is not reasonably determinable, as of such other day or days as the Trustee determines in good faith).</w:t>
      </w:r>
    </w:p>
    <w:p w14:paraId="49675DA0" w14:textId="77777777" w:rsidR="007F5EA1" w:rsidRDefault="007F5EA1" w:rsidP="007F5EA1">
      <w:pPr>
        <w:pStyle w:val="NormalWeb"/>
      </w:pPr>
      <w:r>
        <w:t>(b)</w:t>
      </w:r>
      <w:r>
        <w:t> </w:t>
      </w:r>
      <w:r>
        <w:rPr>
          <w:rStyle w:val="Strong"/>
        </w:rPr>
        <w:t>Valuation Method.</w:t>
      </w:r>
      <w:r>
        <w:t xml:space="preserve"> The </w:t>
      </w:r>
      <w:r>
        <w:rPr>
          <w:rStyle w:val="Strong"/>
        </w:rPr>
        <w:t>net fair market value</w:t>
      </w:r>
      <w:r>
        <w:t xml:space="preserve"> of the trust assets shall be determined annually by the Trustee, who may use an </w:t>
      </w:r>
      <w:r w:rsidRPr="007F5EA1">
        <w:rPr>
          <w:rStyle w:val="Strong"/>
          <w:b w:val="0"/>
          <w:bCs w:val="0"/>
        </w:rPr>
        <w:t>average of monthly or quarterly valuations</w:t>
      </w:r>
      <w:r>
        <w:t xml:space="preserve"> during the preceding twelve (12) months or such other method as the Trustee deems reasonable and consistent with sound fiduciary practice.</w:t>
      </w:r>
    </w:p>
    <w:p w14:paraId="1D7FADFA" w14:textId="77777777" w:rsidR="007F5EA1" w:rsidRDefault="007F5EA1" w:rsidP="007F5EA1">
      <w:pPr>
        <w:pStyle w:val="NormalWeb"/>
      </w:pPr>
      <w:r>
        <w:t>(c)</w:t>
      </w:r>
      <w:r>
        <w:t> </w:t>
      </w:r>
      <w:r>
        <w:rPr>
          <w:rStyle w:val="Strong"/>
        </w:rPr>
        <w:t>Satisfaction of Income Interest.</w:t>
      </w:r>
      <w:r>
        <w:t xml:space="preserve"> The unitrust amount shall be </w:t>
      </w:r>
      <w:r w:rsidRPr="007F5EA1">
        <w:rPr>
          <w:rStyle w:val="Strong"/>
          <w:b w:val="0"/>
          <w:bCs w:val="0"/>
        </w:rPr>
        <w:t>in lieu of all income</w:t>
      </w:r>
      <w:r w:rsidRPr="007F5EA1">
        <w:rPr>
          <w:b/>
          <w:bCs/>
        </w:rPr>
        <w:t xml:space="preserve"> </w:t>
      </w:r>
      <w:r>
        <w:t xml:space="preserve">otherwise payable to the beneficiary. The Trustee shall distribute the unitrust amount </w:t>
      </w:r>
      <w:r w:rsidRPr="007F5EA1">
        <w:rPr>
          <w:rStyle w:val="Strong"/>
          <w:b w:val="0"/>
          <w:bCs w:val="0"/>
        </w:rPr>
        <w:t>from income, principal, or both</w:t>
      </w:r>
      <w:r w:rsidRPr="007F5EA1">
        <w:rPr>
          <w:b/>
          <w:bCs/>
        </w:rPr>
        <w:t>,</w:t>
      </w:r>
      <w:r>
        <w:t xml:space="preserve"> as necessary, and may make appropriate adjustments between income and principal to maintain equitable administration.</w:t>
      </w:r>
    </w:p>
    <w:p w14:paraId="4642040C" w14:textId="77777777" w:rsidR="007F5EA1" w:rsidRPr="007F5EA1" w:rsidRDefault="007F5EA1" w:rsidP="007F5EA1">
      <w:pPr>
        <w:pStyle w:val="NormalWeb"/>
        <w:rPr>
          <w:b/>
          <w:bCs/>
        </w:rPr>
      </w:pPr>
      <w:r>
        <w:t>(d)</w:t>
      </w:r>
      <w:r>
        <w:t> </w:t>
      </w:r>
      <w:r>
        <w:rPr>
          <w:rStyle w:val="Strong"/>
        </w:rPr>
        <w:t>Additional Discretionary Distributions.</w:t>
      </w:r>
      <w:r>
        <w:t xml:space="preserve"> In addition to the unitrust amount, the Trustee may distribute additional amounts of principal as the Trustee, in the Trustee’s sole discretion, deems necessary or advisable for the beneficiary’s </w:t>
      </w:r>
      <w:r w:rsidRPr="007F5EA1">
        <w:rPr>
          <w:rStyle w:val="Strong"/>
          <w:b w:val="0"/>
          <w:bCs w:val="0"/>
        </w:rPr>
        <w:t>health, education, maintenance, and support</w:t>
      </w:r>
      <w:r w:rsidRPr="007F5EA1">
        <w:rPr>
          <w:b/>
          <w:bCs/>
        </w:rPr>
        <w:t>.</w:t>
      </w:r>
    </w:p>
    <w:p w14:paraId="6DA20AFC" w14:textId="77777777" w:rsidR="007F5EA1" w:rsidRDefault="007F5EA1" w:rsidP="007F5EA1">
      <w:pPr>
        <w:pStyle w:val="NormalWeb"/>
      </w:pPr>
      <w:r>
        <w:t>(e)</w:t>
      </w:r>
      <w:r>
        <w:t> </w:t>
      </w:r>
      <w:r>
        <w:rPr>
          <w:rStyle w:val="Strong"/>
        </w:rPr>
        <w:t>Compliance with Law.</w:t>
      </w:r>
      <w:r>
        <w:t xml:space="preserve"> The </w:t>
      </w:r>
      <w:r w:rsidRPr="007F5EA1">
        <w:t xml:space="preserve">Trustee shall administer any unitrust created under this instrument in accordance with </w:t>
      </w:r>
      <w:r w:rsidRPr="007F5EA1">
        <w:rPr>
          <w:rStyle w:val="Strong"/>
          <w:b w:val="0"/>
          <w:bCs w:val="0"/>
        </w:rPr>
        <w:t>Virginia Code § 64.2-1038 through § 64.2-1045</w:t>
      </w:r>
      <w:r w:rsidRPr="007F5EA1">
        <w:rPr>
          <w:b/>
          <w:bCs/>
        </w:rPr>
        <w:t>,</w:t>
      </w:r>
      <w:r w:rsidRPr="007F5EA1">
        <w:t xml:space="preserve"> as amended, and any successor statute governing the conversion or administration of unitrusts. The Trustee’s determinations regarding valuation, timing, and adjustments shall be </w:t>
      </w:r>
      <w:r w:rsidRPr="007F5EA1">
        <w:rPr>
          <w:rStyle w:val="Strong"/>
          <w:b w:val="0"/>
          <w:bCs w:val="0"/>
        </w:rPr>
        <w:t>final and binding</w:t>
      </w:r>
      <w:r w:rsidRPr="007F5EA1">
        <w:t xml:space="preserve"> absent clear and convincing evidence of abuse of discretion.</w:t>
      </w:r>
    </w:p>
    <w:p w14:paraId="7C8C6273" w14:textId="77777777" w:rsidR="007F5EA1" w:rsidRDefault="007F5EA1" w:rsidP="007F5EA1">
      <w:pPr>
        <w:pStyle w:val="NormalWeb"/>
      </w:pPr>
      <w:r>
        <w:t>(f)</w:t>
      </w:r>
      <w:r>
        <w:t> </w:t>
      </w:r>
      <w:r>
        <w:rPr>
          <w:rStyle w:val="Strong"/>
        </w:rPr>
        <w:t>Adjustment Authority.</w:t>
      </w:r>
      <w:r>
        <w:t xml:space="preserve"> The Trustee may, without court approval, adjust the unitrust percentage or convert a net-income trust to a unitrust, or vice versa, as permitted by applicable law, if the Trustee determines that such adjustment is necessary to carry out the Grantor’s intent or to comply with applicable tax regulations.</w:t>
      </w:r>
    </w:p>
    <w:p w14:paraId="01046188" w14:textId="77777777" w:rsidR="00F62387" w:rsidRPr="0042148E" w:rsidRDefault="00F62387"/>
    <w:sectPr w:rsidR="00F62387" w:rsidRPr="00421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5B"/>
    <w:rsid w:val="0001277F"/>
    <w:rsid w:val="00040A3F"/>
    <w:rsid w:val="00111885"/>
    <w:rsid w:val="00161016"/>
    <w:rsid w:val="001E3AF2"/>
    <w:rsid w:val="0025620F"/>
    <w:rsid w:val="002A3034"/>
    <w:rsid w:val="003001BB"/>
    <w:rsid w:val="00357053"/>
    <w:rsid w:val="0042148E"/>
    <w:rsid w:val="00500FC5"/>
    <w:rsid w:val="005C345D"/>
    <w:rsid w:val="00673B29"/>
    <w:rsid w:val="007F5EA1"/>
    <w:rsid w:val="00916272"/>
    <w:rsid w:val="00A94578"/>
    <w:rsid w:val="00C11356"/>
    <w:rsid w:val="00CF7C8B"/>
    <w:rsid w:val="00E011CF"/>
    <w:rsid w:val="00F62387"/>
    <w:rsid w:val="00FB60CD"/>
    <w:rsid w:val="00FC0ABF"/>
    <w:rsid w:val="00FD2410"/>
    <w:rsid w:val="00FF3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4C984"/>
  <w15:chartTrackingRefBased/>
  <w15:docId w15:val="{A3C5C5D5-B6C0-4CCD-943E-C72291071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5EA1"/>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7F5E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14</cp:revision>
  <dcterms:created xsi:type="dcterms:W3CDTF">2022-06-21T17:47:00Z</dcterms:created>
  <dcterms:modified xsi:type="dcterms:W3CDTF">2025-11-04T15:04:00Z</dcterms:modified>
</cp:coreProperties>
</file>