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4F2" w14:textId="5E5E7C5F" w:rsidR="00F3014A" w:rsidRDefault="007F6E30">
      <w:bookmarkStart w:id="0" w:name="_Hlk64033793"/>
      <w:r w:rsidRPr="007F6E30">
        <w:t>3.</w:t>
      </w:r>
      <w:r w:rsidR="002C1482">
        <w:t>P</w:t>
      </w:r>
      <w:r w:rsidRPr="007F6E30">
        <w:t>.     "Foreign Trust" Savings Provision. It is our intent that all trusts created by this Trust Agreement qualify as “United States Persons” under §7701(a)(30)(E) of the Code, and one or more United States Persons (as defined in §7701(a)(30)(A) through (C) of the Code) shall always have the authority to control all substantial decisions under this Trust Agreement. Any power, fiduciary or otherwise, to the extent such power is a power to make a “substantial decision” (as defined in Treasury Regulation §301.7701-7) which, by the terms of this Trust Agreement, would otherwise be held by a person who is not a “United States Person”, shall be only exercised by the Trustee, co-Trustee or Special Trustee (as hereinafter defined) who is a United States Person. Furthermore, any person who does not reside in one of the fifty (50) states of the United States or the District of Columbia shall be deemed to not be a “United States Person” for the application of this provision</w:t>
      </w:r>
      <w:bookmarkEnd w:id="0"/>
      <w:r w:rsidR="0056543B">
        <w:t>.</w:t>
      </w:r>
    </w:p>
    <w:sectPr w:rsidR="00F30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30"/>
    <w:rsid w:val="001A0610"/>
    <w:rsid w:val="002C1482"/>
    <w:rsid w:val="0056543B"/>
    <w:rsid w:val="007F6E30"/>
    <w:rsid w:val="00A84866"/>
    <w:rsid w:val="00D401E4"/>
    <w:rsid w:val="00F30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626E8"/>
  <w15:chartTrackingRefBased/>
  <w15:docId w15:val="{B8DEBE1F-10DC-4587-A01A-799AB89A1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1E4"/>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MDGIII</dc:creator>
  <cp:keywords/>
  <dc:description/>
  <cp:lastModifiedBy>Alexandra Filiault</cp:lastModifiedBy>
  <cp:revision>3</cp:revision>
  <dcterms:created xsi:type="dcterms:W3CDTF">2019-02-12T16:56:00Z</dcterms:created>
  <dcterms:modified xsi:type="dcterms:W3CDTF">2024-04-02T13:18:00Z</dcterms:modified>
</cp:coreProperties>
</file>