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60CD" w:rsidRDefault="006C3D7C">
      <w:r w:rsidRPr="006C3D7C">
        <w:t xml:space="preserve">A Clayton election initially allocates all of the decedent spouse's estate to the marital deduction trust but gives the Trustee the option to "elect" the amount for which a QTIP election will be made. The non-elected portion is then allocated to the exemption trust. Estate of Clayton v. Comm’r., 976 F2d 1486 (5th Cir. 1992), </w:t>
      </w:r>
      <w:proofErr w:type="spellStart"/>
      <w:r w:rsidRPr="006C3D7C">
        <w:t>rev’g</w:t>
      </w:r>
      <w:proofErr w:type="spellEnd"/>
      <w:r w:rsidRPr="006C3D7C">
        <w:t xml:space="preserve"> and remanding 97 TC 327 (1991). The longest deadline for the Clayton election is 15 months after death. This form of a QTIP Trust gives maximum </w:t>
      </w:r>
      <w:proofErr w:type="spellStart"/>
      <w:r w:rsidRPr="006C3D7C">
        <w:t>flexibilty</w:t>
      </w:r>
      <w:proofErr w:type="spellEnd"/>
      <w:r w:rsidRPr="006C3D7C">
        <w:t xml:space="preserve"> for tax-planning; if funding of the exemption trust is not needed (based on the actual size of the estate and the laws in effect at the time of the first death), this can help reduce unnecessary administrative costs and keep more of the potential basis "step-up" at the surviving spouse's death. This gives you a "Disclaimer Trust" but with the deceased spouse's portion held in an irrevocable trust (the property will go in the manner directed by the deceased spouse and there is asset protection); unlike a disclaimer, the survivor has 15 months to make decisions (compare to 9 months for a qualified disclaimer) and the survivor can have a limited power of appointment over the decedent's trusts</w:t>
      </w:r>
    </w:p>
    <w:sectPr w:rsidR="00FB6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Trebuchet MS"/>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D7C"/>
    <w:rsid w:val="00111885"/>
    <w:rsid w:val="00161016"/>
    <w:rsid w:val="003E5FBA"/>
    <w:rsid w:val="006C3D7C"/>
    <w:rsid w:val="00DB60DF"/>
    <w:rsid w:val="00FB2D91"/>
    <w:rsid w:val="00FB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501CE5-4D06-4F25-AFB8-F1A4876D3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885"/>
    <w:rPr>
      <w:rFonts w:ascii="Times New Roman" w:hAnsi="Times New Roman"/>
      <w:sz w:val="24"/>
    </w:rPr>
  </w:style>
  <w:style w:type="paragraph" w:styleId="Heading1">
    <w:name w:val="heading 1"/>
    <w:basedOn w:val="Normal"/>
    <w:next w:val="Normal"/>
    <w:link w:val="Heading1Char"/>
    <w:uiPriority w:val="9"/>
    <w:qFormat/>
    <w:rsid w:val="006C3D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D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D7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D7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3D7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C3D7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3D7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3D7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3D7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D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D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D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D7C"/>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6C3D7C"/>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6C3D7C"/>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C3D7C"/>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C3D7C"/>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C3D7C"/>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C3D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D7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D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3D7C"/>
    <w:rPr>
      <w:rFonts w:ascii="Times New Roman" w:hAnsi="Times New Roman"/>
      <w:i/>
      <w:iCs/>
      <w:color w:val="404040" w:themeColor="text1" w:themeTint="BF"/>
      <w:sz w:val="24"/>
    </w:rPr>
  </w:style>
  <w:style w:type="paragraph" w:styleId="ListParagraph">
    <w:name w:val="List Paragraph"/>
    <w:basedOn w:val="Normal"/>
    <w:uiPriority w:val="34"/>
    <w:qFormat/>
    <w:rsid w:val="006C3D7C"/>
    <w:pPr>
      <w:ind w:left="720"/>
      <w:contextualSpacing/>
    </w:pPr>
  </w:style>
  <w:style w:type="character" w:styleId="IntenseEmphasis">
    <w:name w:val="Intense Emphasis"/>
    <w:basedOn w:val="DefaultParagraphFont"/>
    <w:uiPriority w:val="21"/>
    <w:qFormat/>
    <w:rsid w:val="006C3D7C"/>
    <w:rPr>
      <w:i/>
      <w:iCs/>
      <w:color w:val="2F5496" w:themeColor="accent1" w:themeShade="BF"/>
    </w:rPr>
  </w:style>
  <w:style w:type="paragraph" w:styleId="IntenseQuote">
    <w:name w:val="Intense Quote"/>
    <w:basedOn w:val="Normal"/>
    <w:next w:val="Normal"/>
    <w:link w:val="IntenseQuoteChar"/>
    <w:uiPriority w:val="30"/>
    <w:qFormat/>
    <w:rsid w:val="006C3D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D7C"/>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6C3D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191</Words>
  <Characters>996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1</cp:revision>
  <dcterms:created xsi:type="dcterms:W3CDTF">2025-08-15T18:17:00Z</dcterms:created>
  <dcterms:modified xsi:type="dcterms:W3CDTF">2025-08-18T14:57:00Z</dcterms:modified>
</cp:coreProperties>
</file>