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[[CLIENTTRUSTNAME]]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[[CLIENTTRUSTNAME]]. Any assets held in the name of the Trust should be titled in substantially the following manner</w:t>
      </w:r>
      <w:proofErr w:type="gramStart"/>
      <w:r>
        <w:t>:  [</w:t>
      </w:r>
      <w:proofErr w:type="gramEnd"/>
      <w:r>
        <w:t>[CLIENT1FULLNAME]] and [[CLIENT2FULLNAME]], as co-Trustees of THE [[CLIENTTRUSTNAME]],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[[CLIENT1FULLNAME]] and [[CLIENT2FULLNAME]]. If either of said co-Trustees shall cease to act for any reason, the other shall act as sole Trustee of the Trust. In the event that both cease to act for any reason, they shall be succeeded by [[FIRSTALTERNATETRUSTEEFULLNAME]] as the successor Trustee. If said successor Trustee fails to qualify or ceases to act, [[SECONDALTERNATETRUSTEEFULLNAME]]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[[CLIENT1FULLNAME]] and [[CLIENT2FULLNAME]].</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[[Zip]].</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[[County/City]]</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[[CLIENT1FULLNAME]]</w:t>
      </w:r>
      <w:r>
        <w:t>,</w:t>
      </w:r>
      <w:r>
        <w:tab/>
      </w:r>
      <w:r>
        <w:rPr>
          <w:b/>
        </w:rPr>
        <w:t>[[CLIENT2FULLNAME]],</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[[CLIENTTRUSTNAME]]</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