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5 May 2026 – 11 May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$15.23 across 29 leads. Total ad spend for the period was $441.55 with an average CTR of 7.63%. The top performer achieved a CPL of $2.33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$441.55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$15.23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7.63%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$2,069.64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182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$11.37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7.67%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$8,319.44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882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$9.43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6.69%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$6.67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5.14%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...419360360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$13.04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5.12%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...418000360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$20.11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5.17%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...392360360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$24.79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7.59%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...417160360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$2.33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6.74%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$3.87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4.63%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5 conversions from 2 ad(s) – Best cost: $2.33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DEC-29 Release: </w:t>
      </w:r>
      <w:r>
        <w:rPr>
          <w:color w:val="475569"/>
          <w:sz w:val="22"/>
          <w:szCs w:val="22"/>
        </w:rPr>
        <w:t xml:space="preserve">1 conversions from 1 ad(s) – Best cost: $3.18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2 conversions at $2.33 cost, 2.44%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DEC-29-2025 - copy_E5D9847D-795E-4D9C-A9E6-1F25D6F4D5D1 - Copy – 1 conversions at $3.18 cost, 6.74%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25 leads, $15.23 CPL, 6.42%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18 leads, $15.39 CPL, 7.57%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11 leads, $20.21 CPL, 5.36%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29 leads generated from $441.55 spend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CTR of 7.63% indicates strong ad relevance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lead of $15.23 is within viable range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performer "DEC-15-2025 - copy_08771CC1-D4C9-4210-BE7C-B4582E8D0709 - Copy" driving 2 leads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Reduce CPL by pausing ads with CTR below 7.6% average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spend on winning ad creatives to increase volume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Create new ad variations based on top-performing creative patterns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Expand audience targeting based on demographic insights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Increase budget on top 2 performers by 20-30%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Review underperforming ads and pause or refresh creative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Set up A/B experiment for new headline or creative variation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frequency caps to avoid ad fatigue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Lead → Completed Application Dropoff</w:t>
      </w:r>
    </w:p>
    <w:p>
      <w:r>
        <w:rPr>
          <w:sz w:val="20"/>
          <w:color w:val="64748B"/>
        </w:rPr>
        <w:t>Meta lead aliases are not summed. This compares the canonical Meta Lead event against completed applications from complete_registration.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Meta 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Dropoff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Cost / Completed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29</w:t>
            </w:r>
          </w:p>
        </w:tc>
        <w:tc>
          <w:tcPr>
            <w:tcW w:w="1700" w:type="dxa"/>
          </w:tcPr>
          <w:p>
            <w:r>
              <w:rPr/>
              <w:t>20</w:t>
            </w:r>
          </w:p>
        </w:tc>
        <w:tc>
          <w:tcPr>
            <w:tcW w:w="1700" w:type="dxa"/>
          </w:tcPr>
          <w:p>
            <w:r>
              <w:rPr/>
              <w:t>9</w:t>
            </w:r>
          </w:p>
        </w:tc>
        <w:tc>
          <w:tcPr>
            <w:tcW w:w="1700" w:type="dxa"/>
          </w:tcPr>
          <w:p>
            <w:r>
              <w:rPr/>
              <w:t>68.97%</w:t>
            </w:r>
          </w:p>
        </w:tc>
        <w:tc>
          <w:tcPr>
            <w:tcW w:w="1700" w:type="dxa"/>
          </w:tcPr>
          <w:p>
            <w:r>
              <w:rPr/>
              <w:t>$22.08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182</w:t>
            </w:r>
          </w:p>
        </w:tc>
        <w:tc>
          <w:tcPr>
            <w:tcW w:w="1700" w:type="dxa"/>
          </w:tcPr>
          <w:p>
            <w:r>
              <w:rPr/>
              <w:t>110</w:t>
            </w:r>
          </w:p>
        </w:tc>
        <w:tc>
          <w:tcPr>
            <w:tcW w:w="1700" w:type="dxa"/>
          </w:tcPr>
          <w:p>
            <w:r>
              <w:rPr/>
              <w:t>72</w:t>
            </w:r>
          </w:p>
        </w:tc>
        <w:tc>
          <w:tcPr>
            <w:tcW w:w="1700" w:type="dxa"/>
          </w:tcPr>
          <w:p>
            <w:r>
              <w:rPr/>
              <w:t>60.44%</w:t>
            </w:r>
          </w:p>
        </w:tc>
        <w:tc>
          <w:tcPr>
            <w:tcW w:w="1700" w:type="dxa"/>
          </w:tcPr>
          <w:p>
            <w:r>
              <w:rPr/>
              <w:t>$18.81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882</w:t>
            </w:r>
          </w:p>
        </w:tc>
        <w:tc>
          <w:tcPr>
            <w:tcW w:w="1700" w:type="dxa"/>
          </w:tcPr>
          <w:p>
            <w:r>
              <w:rPr/>
              <w:t>307</w:t>
            </w:r>
          </w:p>
        </w:tc>
        <w:tc>
          <w:tcPr>
            <w:tcW w:w="1700" w:type="dxa"/>
          </w:tcPr>
          <w:p>
            <w:r>
              <w:rPr/>
              <w:t>575</w:t>
            </w:r>
          </w:p>
        </w:tc>
        <w:tc>
          <w:tcPr>
            <w:tcW w:w="1700" w:type="dxa"/>
          </w:tcPr>
          <w:p>
            <w:r>
              <w:rPr/>
              <w:t>34.81%</w:t>
            </w:r>
          </w:p>
        </w:tc>
        <w:tc>
          <w:tcPr>
            <w:tcW w:w="1700" w:type="dxa"/>
          </w:tcPr>
          <w:p>
            <w:r>
              <w:rPr/>
              <w:t>$27.10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Full Funnel — Meta → Pipedrive Swim Lanes</w:t>
      </w:r>
    </w:p>
    <w:p>
      <w:r>
        <w:rPr>
          <w:sz w:val="20"/>
          <w:color w:val="64748B"/>
        </w:rPr>
        <w:t>Direct Pipedrive pull from BoxDivvy Hubster Recruitment, Hub in Progress, and Hub Handovers. This shows application-stage CRM reality beside Meta attribution.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Funnel Stage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w="1700" w:type="dxa"/>
          </w:tcPr>
          <w:p>
            <w:r>
              <w:rPr/>
              <w:t>Meta Leads</w:t>
            </w:r>
          </w:p>
        </w:tc>
        <w:tc>
          <w:tcPr>
            <w:tcW w:w="1700" w:type="dxa"/>
          </w:tcPr>
          <w:p>
            <w:r>
              <w:rPr/>
              <w:t>29</w:t>
            </w:r>
          </w:p>
        </w:tc>
        <w:tc>
          <w:tcPr>
            <w:tcW w:w="1700" w:type="dxa"/>
          </w:tcPr>
          <w:p>
            <w:r>
              <w:rPr/>
              <w:t>Meta canonical lead</w:t>
            </w:r>
          </w:p>
        </w:tc>
        <w:tc>
          <w:tcPr>
            <w:tcW w:w="1700" w:type="dxa"/>
          </w:tcPr>
          <w:p>
            <w:r>
              <w:rPr/>
              <w:t>Top-funnel ad-attributed leads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44</w:t>
            </w:r>
          </w:p>
        </w:tc>
        <w:tc>
          <w:tcPr>
            <w:tcW w:w="1700" w:type="dxa"/>
          </w:tcPr>
          <w:p>
            <w:r>
              <w:rPr/>
              <w:t>Pipedrive swim lane</w:t>
            </w:r>
          </w:p>
        </w:tc>
        <w:tc>
          <w:tcPr>
            <w:tcW w:w="1700" w:type="dxa"/>
          </w:tcPr>
          <w:p>
            <w:r>
              <w:rPr/>
              <w:t>Deals submitted in Pipedrive during the report period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7</w:t>
            </w:r>
          </w:p>
        </w:tc>
        <w:tc>
          <w:tcPr>
            <w:tcW w:w="1700" w:type="dxa"/>
          </w:tcPr>
          <w:p>
            <w:r>
              <w:rPr/>
              <w:t>Pipedrive swim lane</w:t>
            </w:r>
          </w:p>
        </w:tc>
        <w:tc>
          <w:tcPr>
            <w:tcW w:w="1700" w:type="dxa"/>
          </w:tcPr>
          <w:p>
            <w:r>
              <w:rPr/>
              <w:t>Deals that reached the first-call-completed lane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Current open CRM funnel: 254 deals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Swim Lane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Deals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131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82</w:t>
            </w:r>
          </w:p>
        </w:tc>
      </w:tr>
      <w:tr>
        <w:tc>
          <w:tcPr>
            <w:tcW w:w="1700" w:type="dxa"/>
          </w:tcPr>
          <w:p>
            <w:r>
              <w:rPr/>
              <w:t>On Hold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</w:tr>
      <w:tr>
        <w:tc>
          <w:tcPr>
            <w:tcW w:w="1700" w:type="dxa"/>
          </w:tcPr>
          <w:p>
            <w:r>
              <w:rPr/>
              <w:t>Building Members</w:t>
            </w:r>
          </w:p>
        </w:tc>
        <w:tc>
          <w:tcPr>
            <w:tcW w:w="1700" w:type="dxa"/>
          </w:tcPr>
          <w:p>
            <w:r>
              <w:rPr/>
              <w:t>6</w:t>
            </w:r>
          </w:p>
        </w:tc>
      </w:tr>
      <w:tr>
        <w:tc>
          <w:tcPr>
            <w:tcW w:w="1700" w:type="dxa"/>
          </w:tcPr>
          <w:p>
            <w:r>
              <w:rPr/>
              <w:t>Joined hub</w:t>
            </w:r>
          </w:p>
        </w:tc>
        <w:tc>
          <w:tcPr>
            <w:tcW w:w="1700" w:type="dxa"/>
          </w:tcPr>
          <w:p>
            <w:r>
              <w:rPr/>
              <w:t>5</w:t>
            </w:r>
          </w:p>
        </w:tc>
      </w:tr>
      <w:tr>
        <w:tc>
          <w:tcPr>
            <w:tcW w:w="1700" w:type="dxa"/>
          </w:tcPr>
          <w:p>
            <w:r>
              <w:rPr/>
              <w:t>Hub to be listed</w:t>
            </w:r>
          </w:p>
        </w:tc>
        <w:tc>
          <w:tcPr>
            <w:tcW w:w="1700" w:type="dxa"/>
          </w:tcPr>
          <w:p>
            <w:r>
              <w:rPr/>
              <w:t>4</w:t>
            </w:r>
          </w:p>
        </w:tc>
      </w:tr>
      <w:tr>
        <w:tc>
          <w:tcPr>
            <w:tcW w:w="1700" w:type="dxa"/>
          </w:tcPr>
          <w:p>
            <w:r>
              <w:rPr/>
              <w:t>Waiting for delivery day</w:t>
            </w:r>
          </w:p>
        </w:tc>
        <w:tc>
          <w:tcPr>
            <w:tcW w:w="1700" w:type="dxa"/>
          </w:tcPr>
          <w:p>
            <w:r>
              <w:rPr/>
              <w:t>4</w:t>
            </w:r>
          </w:p>
        </w:tc>
      </w:tr>
      <w:tr>
        <w:tc>
          <w:tcPr>
            <w:tcW w:w="1700" w:type="dxa"/>
          </w:tcPr>
          <w:p>
            <w:r>
              <w:rPr/>
              <w:t>Hub pack complete</w:t>
            </w:r>
          </w:p>
        </w:tc>
        <w:tc>
          <w:tcPr>
            <w:tcW w:w="1700" w:type="dxa"/>
          </w:tcPr>
          <w:p>
            <w:r>
              <w:rPr/>
              <w:t>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