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drawing>
          <wp:inline distT="0" distB="0" distL="0" distR="0">
            <wp:extent cx="1333500" cy="247650"/>
            <wp:effectExtent t="0" r="0" b="0" l="0"/>
            <wp:docPr id="1" name="feisty-logo" descr="Feisty Agency Logo" title="Feis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333500" cy="247650"/>
                    </a:xfrm>
                    <a:prstGeom prst="rect">
                      <a:avLst/>
                    </a:prstGeom>
                  </pic:spPr>
                </pic:pic>
              </a:graphicData>
            </a:graphic>
          </wp:inline>
        </w:drawing>
      </w:r>
    </w:p>
    <w:p>
      <w:pPr>
        <w:pStyle w:val="Heading1"/>
        <w:spacing w:before="300" w:after="200"/>
      </w:pPr>
      <w:r>
        <w:rPr>
          <w:b/>
          <w:bCs/>
          <w:color w:val="1E293B"/>
          <w:sz w:val="44"/>
          <w:szCs w:val="44"/>
        </w:rPr>
        <w:t xml:space="preserve">Meta Ads Performance Audit</w:t>
      </w:r>
    </w:p>
    <w:p>
      <w:pPr>
        <w:spacing w:after="120"/>
      </w:pPr>
      <w:r>
        <w:rPr>
          <w:b/>
          <w:bCs/>
          <w:color w:val="475569"/>
          <w:sz w:val="22"/>
          <w:szCs w:val="22"/>
        </w:rPr>
        <w:t xml:space="preserve">Client: </w:t>
      </w:r>
      <w:r>
        <w:rPr>
          <w:color w:val="1E293B"/>
          <w:sz w:val="22"/>
          <w:szCs w:val="22"/>
        </w:rPr>
        <w:t xml:space="preserve">NeedleFree (Comfort-In)</w:t>
      </w:r>
    </w:p>
    <w:p>
      <w:pPr>
        <w:spacing w:after="120"/>
      </w:pPr>
      <w:r>
        <w:rPr>
          <w:b/>
          <w:bCs/>
          <w:color w:val="475569"/>
          <w:sz w:val="22"/>
          <w:szCs w:val="22"/>
        </w:rPr>
        <w:t xml:space="preserve">Campaign: </w:t>
      </w:r>
      <w:r>
        <w:rPr>
          <w:color w:val="1E293B"/>
          <w:sz w:val="22"/>
          <w:szCs w:val="22"/>
        </w:rPr>
        <w:t xml:space="preserve">PA - Sales - LP - All - CBO - 17.1</w:t>
      </w:r>
    </w:p>
    <w:p>
      <w:pPr>
        <w:spacing w:after="300"/>
      </w:pPr>
      <w:r>
        <w:rPr>
          <w:b/>
          <w:bCs/>
          <w:color w:val="475569"/>
          <w:sz w:val="22"/>
          <w:szCs w:val="22"/>
        </w:rPr>
        <w:t xml:space="preserve">Period: </w:t>
      </w:r>
      <w:r>
        <w:rPr>
          <w:color w:val="1E293B"/>
          <w:sz w:val="22"/>
          <w:szCs w:val="22"/>
        </w:rPr>
        <w:t xml:space="preserve">4 May 2026 – 10 May 2026</w:t>
      </w:r>
    </w:p>
    <w:p>
      <w:pPr>
        <w:pStyle w:val="Heading2"/>
        <w:spacing w:before="200" w:after="120"/>
      </w:pPr>
      <w:r>
        <w:rPr>
          <w:b/>
          <w:bCs/>
          <w:color w:val="1E293B"/>
          <w:sz w:val="28"/>
          <w:szCs w:val="28"/>
        </w:rPr>
        <w:t xml:space="preserve">Executive Summary</w:t>
      </w:r>
    </w:p>
    <w:p>
      <w:pPr>
        <w:spacing w:after="300"/>
      </w:pPr>
      <w:r>
        <w:rPr>
          <w:color w:val="475569"/>
          <w:sz w:val="22"/>
          <w:szCs w:val="22"/>
        </w:rPr>
        <w:t xml:space="preserve">NeedleFree (Comfort-In) generated 15 deduped WooCommerce paid kit orders and $8,705.88 in backend revenue for the period. Meta attributed 13 purchase events and $650.00 in purchase value, giving 86.67% purchase capture and 7.47% value capture against Woo truth. Backend CPP was $37.00 with backend ROAS of 15.69x; Meta events remain the attribution lens while Woo order IDs are the business result. Average CTR was 3.84%.</w:t>
      </w:r>
    </w:p>
    <w:p>
      <w:pPr>
        <w:pStyle w:val="Heading2"/>
        <w:spacing w:before="200" w:after="120"/>
      </w:pPr>
      <w:r>
        <w:rPr>
          <w:b/>
          <w:bCs/>
          <w:color w:val="1E293B"/>
          <w:sz w:val="28"/>
          <w:szCs w:val="28"/>
        </w:rPr>
        <w:t xml:space="preserve">Key Metrics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1800"/>
        <w:gridCol w:w="1600"/>
        <w:gridCol w:w="1600"/>
        <w:gridCol w:w="1600"/>
      </w:tblGrid>
      <w:tr>
        <w:tc>
          <w:tcPr>
            <w:tcW w:type="dxa" w:w="22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Period</w:t>
            </w:r>
          </w:p>
        </w:tc>
        <w:tc>
          <w:tcPr>
            <w:tcW w:type="dxa" w:w="18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Spend</w:t>
            </w:r>
          </w:p>
        </w:tc>
        <w:tc>
          <w:tcPr>
            <w:tcW w:type="dxa" w:w="16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Purchases</w:t>
            </w:r>
          </w:p>
        </w:tc>
        <w:tc>
          <w:tcPr>
            <w:tcW w:type="dxa" w:w="16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CPP</w:t>
            </w:r>
          </w:p>
        </w:tc>
        <w:tc>
          <w:tcPr>
            <w:tcW w:type="dxa" w:w="16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CTR</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This Week</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$554.94</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13</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$42.69</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3.84%</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This Month</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$2,392.67</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133</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$17.99</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3.79%</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Since Starting</w:t>
            </w:r>
          </w:p>
        </w:tc>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$10,342.94</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673</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0B981"/>
                <w:sz w:val="22"/>
                <w:szCs w:val="22"/>
              </w:rPr>
              <w:t xml:space="preserve">$15.37</w:t>
            </w:r>
          </w:p>
        </w:tc>
        <w:tc>
          <w:tcPr>
            <w:tcW w:type="dxa" w:w="1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Arial" w:cs="Arial" w:eastAsia="Arial" w:hAnsi="Arial"/>
                <w:b/>
                <w:bCs/>
                <w:color w:val="1E293B"/>
                <w:sz w:val="22"/>
                <w:szCs w:val="22"/>
              </w:rPr>
              <w:t xml:space="preserve">3.84%</w:t>
            </w:r>
          </w:p>
        </w:tc>
      </w:tr>
    </w:tbl>
    <w:p>
      <w:pPr>
        <w:spacing w:after="300"/>
      </w:pPr>
    </w:p>
    <w:p>
      <w:pPr>
        <w:pStyle w:val="Heading2"/>
        <w:spacing w:before="200" w:after="120"/>
      </w:pPr>
      <w:r>
        <w:rPr>
          <w:b/>
          <w:bCs/>
          <w:color w:val="1E293B"/>
          <w:sz w:val="28"/>
          <w:szCs w:val="28"/>
        </w:rPr>
        <w:t xml:space="preserve">Latest Batch — Top Performers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500"/>
        <w:gridCol w:w="1300"/>
        <w:gridCol w:w="1400"/>
        <w:gridCol w:w="1400"/>
        <w:gridCol w:w="1400"/>
        <w:gridCol w:w="2360"/>
        <w:gridCol w:w="800"/>
      </w:tblGrid>
      <w:tr>
        <w:tc>
          <w:tcPr>
            <w:tcW w:type="dxa" w:w="5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3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Release Lot</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CPP</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Purchases</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CTR</w:t>
            </w:r>
          </w:p>
        </w:tc>
        <w:tc>
          <w:tcPr>
            <w:tcW w:type="dxa" w:w="236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 ID</w:t>
            </w:r>
          </w:p>
        </w:tc>
        <w:tc>
          <w:tcPr>
            <w:tcW w:type="dxa" w:w="8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Preview</w:t>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Apr-28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$15.85</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5.57%</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...512115771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bl>
    <w:p>
      <w:pPr>
        <w:spacing w:after="300"/>
      </w:pPr>
    </w:p>
    <w:p>
      <w:pPr>
        <w:pStyle w:val="Heading2"/>
        <w:spacing w:before="200" w:after="120"/>
      </w:pPr>
      <w:r>
        <w:rPr>
          <w:b/>
          <w:bCs/>
          <w:color w:val="1E293B"/>
          <w:sz w:val="28"/>
          <w:szCs w:val="28"/>
        </w:rPr>
        <w:t xml:space="preserve">Top 5 Performers by CPP — All Time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500"/>
        <w:gridCol w:w="1300"/>
        <w:gridCol w:w="1400"/>
        <w:gridCol w:w="1400"/>
        <w:gridCol w:w="1400"/>
        <w:gridCol w:w="2360"/>
        <w:gridCol w:w="800"/>
      </w:tblGrid>
      <w:tr>
        <w:tc>
          <w:tcPr>
            <w:tcW w:type="dxa" w:w="5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13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Release Lot</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CPP</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Purchases</w:t>
            </w:r>
          </w:p>
        </w:tc>
        <w:tc>
          <w:tcPr>
            <w:tcW w:type="dxa" w:w="14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CTR</w:t>
            </w:r>
          </w:p>
        </w:tc>
        <w:tc>
          <w:tcPr>
            <w:tcW w:type="dxa" w:w="236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 ID</w:t>
            </w:r>
          </w:p>
        </w:tc>
        <w:tc>
          <w:tcPr>
            <w:tcW w:type="dxa" w:w="800"/>
            <w:gridSpan w:val="1"/>
            <w:tcBorders>
              <w:top w:val="single" w:color="E2E8F0" w:sz="4"/>
              <w:left w:val="single" w:color="E2E8F0" w:sz="4"/>
              <w:bottom w:val="single" w:color="E2E8F0" w:sz="4"/>
              <w:right w:val="single" w:color="E2E8F0" w:sz="4"/>
            </w:tcBorders>
            <w:shd w:fill="1E293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Preview</w:t>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Dec-22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$0.39</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2.65%</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...434619171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Jan-20</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$0.76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1.13%</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...245221971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Feb-10</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$0.88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0.85%</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...790733771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Feb-18</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$0.89</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0.83%</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...620572971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r>
        <w:tc>
          <w:tcPr>
            <w:tcW w:type="dxa" w:w="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w:t>
            </w:r>
          </w:p>
        </w:tc>
        <w:tc>
          <w:tcPr>
            <w:tcW w:type="dxa" w:w="1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Mar-12</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$1.26</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2.70%</w:t>
            </w:r>
          </w:p>
        </w:tc>
        <w:tc>
          <w:tcPr>
            <w:tcW w:type="dxa" w:w="2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...675335171</w:t>
            </w:r>
          </w:p>
        </w:tc>
        <w:tc>
          <w:tcPr>
            <w:tcW w:type="dxa" w:w="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drawing>
                <wp:inline distT="0" distB="0" distL="0" distR="0">
                  <wp:extent cx="4762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tc>
      </w:tr>
    </w:tbl>
    <w:p>
      <w:pPr>
        <w:spacing w:before="100" w:after="300"/>
      </w:pPr>
      <w:r>
        <w:rPr>
          <w:i/>
          <w:iCs/>
          <w:color w:val="475569"/>
          <w:sz w:val="18"/>
          <w:szCs w:val="18"/>
        </w:rPr>
        <w:t xml:space="preserve">🔥 = Top performer | ⭐ = Volume star | Sorted by cost per conversion (lowest first)</w:t>
      </w:r>
    </w:p>
    <w:p>
      <w:pPr>
        <w:pStyle w:val="Heading2"/>
        <w:spacing w:before="200" w:after="120"/>
      </w:pPr>
      <w:r>
        <w:rPr>
          <w:b/>
          <w:bCs/>
          <w:color w:val="1E293B"/>
          <w:sz w:val="28"/>
          <w:szCs w:val="28"/>
        </w:rPr>
        <w:t xml:space="preserve">Release Lot Performance</w:t>
      </w:r>
    </w:p>
    <w:p>
      <w:pPr>
        <w:spacing w:after="80"/>
      </w:pPr>
      <w:r>
        <w:rPr>
          <w:b/>
          <w:bCs/>
          <w:color w:val="1E293B"/>
          <w:sz w:val="22"/>
          <w:szCs w:val="22"/>
        </w:rPr>
        <w:t xml:space="preserve">• Dec-22 Release: </w:t>
      </w:r>
      <w:r>
        <w:rPr>
          <w:color w:val="475569"/>
          <w:sz w:val="22"/>
          <w:szCs w:val="22"/>
        </w:rPr>
        <w:t xml:space="preserve">22 conversions from 1 ad(s) – Best cost: $0.39</w:t>
      </w:r>
    </w:p>
    <w:p>
      <w:pPr>
        <w:spacing w:after="80"/>
      </w:pPr>
      <w:r>
        <w:rPr>
          <w:b/>
          <w:bCs/>
          <w:color w:val="1E293B"/>
          <w:sz w:val="22"/>
          <w:szCs w:val="22"/>
        </w:rPr>
        <w:t xml:space="preserve">• Jan-20 Release: </w:t>
      </w:r>
      <w:r>
        <w:rPr>
          <w:color w:val="475569"/>
          <w:sz w:val="22"/>
          <w:szCs w:val="22"/>
        </w:rPr>
        <w:t xml:space="preserve">4 conversions from 1 ad(s) – Best cost: $0.76</w:t>
      </w:r>
    </w:p>
    <w:p>
      <w:pPr>
        <w:spacing w:after="80"/>
      </w:pPr>
      <w:r>
        <w:rPr>
          <w:b/>
          <w:bCs/>
          <w:color w:val="1E293B"/>
          <w:sz w:val="22"/>
          <w:szCs w:val="22"/>
        </w:rPr>
        <w:t xml:space="preserve">• Feb-10 Release: </w:t>
      </w:r>
      <w:r>
        <w:rPr>
          <w:color w:val="475569"/>
          <w:sz w:val="22"/>
          <w:szCs w:val="22"/>
        </w:rPr>
        <w:t xml:space="preserve">6 conversions from 1 ad(s) – Best cost: $0.88</w:t>
      </w:r>
    </w:p>
    <w:p>
      <w:pPr>
        <w:spacing w:after="80"/>
      </w:pPr>
      <w:r>
        <w:rPr>
          <w:b/>
          <w:bCs/>
          <w:color w:val="1E293B"/>
          <w:sz w:val="22"/>
          <w:szCs w:val="22"/>
        </w:rPr>
        <w:t xml:space="preserve">• Feb-18 Release: </w:t>
      </w:r>
      <w:r>
        <w:rPr>
          <w:color w:val="475569"/>
          <w:sz w:val="22"/>
          <w:szCs w:val="22"/>
        </w:rPr>
        <w:t xml:space="preserve">6 conversions from 1 ad(s) – Best cost: $0.89</w:t>
      </w:r>
    </w:p>
    <w:p>
      <w:pPr>
        <w:spacing w:after="80"/>
      </w:pPr>
      <w:r>
        <w:rPr>
          <w:b/>
          <w:bCs/>
          <w:color w:val="1E293B"/>
          <w:sz w:val="22"/>
          <w:szCs w:val="22"/>
        </w:rPr>
        <w:t xml:space="preserve">• Feb-28 Release: </w:t>
      </w:r>
      <w:r>
        <w:rPr>
          <w:color w:val="475569"/>
          <w:sz w:val="22"/>
          <w:szCs w:val="22"/>
        </w:rPr>
        <w:t xml:space="preserve">4 conversions from 1 ad(s) – Best cost: $1.26</w:t>
      </w:r>
    </w:p>
    <w:p>
      <w:pPr>
        <w:spacing w:after="200"/>
      </w:pPr>
    </w:p>
    <w:p>
      <w:pPr>
        <w:pStyle w:val="Heading2"/>
        <w:spacing w:before="200" w:after="120"/>
      </w:pPr>
      <w:r>
        <w:rPr>
          <w:b/>
          <w:bCs/>
          <w:color w:val="1E293B"/>
          <w:sz w:val="28"/>
          <w:szCs w:val="28"/>
        </w:rPr>
        <w:t xml:space="preserve">Creative Insights</w:t>
      </w:r>
    </w:p>
    <w:p>
      <w:pPr>
        <w:spacing w:after="40"/>
      </w:pPr>
      <w:r>
        <w:rPr>
          <w:b/>
          <w:bCs/>
          <w:color w:val="1E293B"/>
          <w:sz w:val="22"/>
          <w:szCs w:val="22"/>
        </w:rPr>
        <w:t xml:space="preserve">Top Performer:</w:t>
      </w:r>
    </w:p>
    <w:p>
      <w:pPr>
        <w:spacing w:after="120"/>
      </w:pPr>
      <w:r>
        <w:rPr>
          <w:color w:val="475569"/>
          <w:sz w:val="22"/>
          <w:szCs w:val="22"/>
        </w:rPr>
        <w:t xml:space="preserve">(22-12-2025) - (5) – 22 conversions at $0.39 cost, 2.65% CTR</w:t>
      </w:r>
    </w:p>
    <w:p>
      <w:pPr>
        <w:spacing w:after="40"/>
      </w:pPr>
      <w:r>
        <w:rPr>
          <w:b/>
          <w:bCs/>
          <w:color w:val="1E293B"/>
          <w:sz w:val="22"/>
          <w:szCs w:val="22"/>
        </w:rPr>
        <w:t xml:space="preserve">Runner Up:</w:t>
      </w:r>
    </w:p>
    <w:p>
      <w:pPr>
        <w:spacing w:after="120"/>
      </w:pPr>
      <w:r>
        <w:rPr>
          <w:color w:val="475569"/>
          <w:sz w:val="22"/>
          <w:szCs w:val="22"/>
        </w:rPr>
        <w:t xml:space="preserve">(20-01-2026) - (3) – 4 conversions at $0.76 cost, 1.13% CTR</w:t>
      </w:r>
    </w:p>
    <w:p>
      <w:pPr>
        <w:spacing w:after="200"/>
      </w:pPr>
    </w:p>
    <w:p>
      <w:pPr>
        <w:pStyle w:val="Heading2"/>
        <w:spacing w:before="200" w:after="120"/>
      </w:pPr>
      <w:r>
        <w:rPr>
          <w:b/>
          <w:bCs/>
          <w:color w:val="1E293B"/>
          <w:sz w:val="28"/>
          <w:szCs w:val="28"/>
        </w:rPr>
        <w:t xml:space="preserve">Demographic Sweet Spot</w:t>
      </w:r>
    </w:p>
    <w:p>
      <w:pPr>
        <w:spacing w:after="80"/>
      </w:pPr>
      <w:r>
        <w:rPr>
          <w:b/>
          <w:bCs/>
          <w:color w:val="1E293B"/>
          <w:sz w:val="22"/>
          <w:szCs w:val="22"/>
        </w:rPr>
        <w:t xml:space="preserve">• Male 25-34: </w:t>
      </w:r>
      <w:r>
        <w:rPr>
          <w:color w:val="475569"/>
          <w:sz w:val="22"/>
          <w:szCs w:val="22"/>
        </w:rPr>
        <w:t xml:space="preserve">12 purchases, $14.00 CPP, 3.11% CTR</w:t>
      </w:r>
    </w:p>
    <w:p>
      <w:pPr>
        <w:spacing w:after="80"/>
      </w:pPr>
      <w:r>
        <w:rPr>
          <w:b/>
          <w:bCs/>
          <w:color w:val="1E293B"/>
          <w:sz w:val="22"/>
          <w:szCs w:val="22"/>
        </w:rPr>
        <w:t xml:space="preserve">• Male 35-44: </w:t>
      </w:r>
      <w:r>
        <w:rPr>
          <w:color w:val="475569"/>
          <w:sz w:val="22"/>
          <w:szCs w:val="22"/>
        </w:rPr>
        <w:t xml:space="preserve">8 purchases, $26.73 CPP, 3.59% CTR</w:t>
      </w:r>
    </w:p>
    <w:p>
      <w:pPr>
        <w:spacing w:after="80"/>
      </w:pPr>
      <w:r>
        <w:rPr>
          <w:b/>
          <w:bCs/>
          <w:color w:val="1E293B"/>
          <w:sz w:val="22"/>
          <w:szCs w:val="22"/>
        </w:rPr>
        <w:t xml:space="preserve">• Male 45-54: </w:t>
      </w:r>
      <w:r>
        <w:rPr>
          <w:color w:val="475569"/>
          <w:sz w:val="22"/>
          <w:szCs w:val="22"/>
        </w:rPr>
        <w:t xml:space="preserve">6 purchases, $17.46 CPP, 5.02% CTR</w:t>
      </w:r>
    </w:p>
    <w:p>
      <w:pPr>
        <w:spacing w:after="200"/>
      </w:pPr>
    </w:p>
    <w:p>
      <w:pPr>
        <w:pStyle w:val="Heading2"/>
        <w:spacing w:before="200" w:after="120"/>
      </w:pPr>
      <w:r>
        <w:rPr>
          <w:b/>
          <w:bCs/>
          <w:color w:val="1E293B"/>
          <w:sz w:val="28"/>
          <w:szCs w:val="28"/>
        </w:rPr>
        <w:t xml:space="preserve">Key Insights</w:t>
      </w:r>
    </w:p>
    <w:p>
      <w:pPr>
        <w:spacing w:after="80"/>
      </w:pPr>
      <w:r>
        <w:rPr>
          <w:b/>
          <w:bCs/>
          <w:color w:val="10B981"/>
          <w:sz w:val="24"/>
          <w:szCs w:val="24"/>
        </w:rPr>
        <w:t xml:space="preserve">What's Working:</w:t>
      </w:r>
    </w:p>
    <w:p>
      <w:pPr>
        <w:spacing w:after="80"/>
      </w:pPr>
      <w:r>
        <w:rPr>
          <w:color w:val="475569"/>
          <w:sz w:val="22"/>
          <w:szCs w:val="22"/>
        </w:rPr>
        <w:t xml:space="preserve">✓ 13 purchases generated from $554.94 spend</w:t>
      </w:r>
    </w:p>
    <w:p>
      <w:pPr>
        <w:spacing w:after="80"/>
      </w:pPr>
      <w:r>
        <w:rPr>
          <w:color w:val="475569"/>
          <w:sz w:val="22"/>
          <w:szCs w:val="22"/>
        </w:rPr>
        <w:t xml:space="preserve">✓ CTR of 3.84% indicates strong ad relevance</w:t>
      </w:r>
    </w:p>
    <w:p>
      <w:pPr>
        <w:spacing w:after="80"/>
      </w:pPr>
      <w:r>
        <w:rPr>
          <w:color w:val="475569"/>
          <w:sz w:val="22"/>
          <w:szCs w:val="22"/>
        </w:rPr>
        <w:t xml:space="preserve">✓ Cost per purchase of $42.69 is within viable range</w:t>
      </w:r>
    </w:p>
    <w:p>
      <w:pPr>
        <w:spacing w:after="80"/>
      </w:pPr>
      <w:r>
        <w:rPr>
          <w:color w:val="475569"/>
          <w:sz w:val="22"/>
          <w:szCs w:val="22"/>
        </w:rPr>
        <w:t xml:space="preserve">✓ Top performer "(22-12-2025) - (5)" driving 22 purchases</w:t>
      </w:r>
    </w:p>
    <w:p>
      <w:pPr>
        <w:spacing w:after="120"/>
      </w:pPr>
    </w:p>
    <w:p>
      <w:pPr>
        <w:spacing w:after="80"/>
      </w:pPr>
      <w:r>
        <w:rPr>
          <w:b/>
          <w:bCs/>
          <w:color w:val="1E293B"/>
          <w:sz w:val="24"/>
          <w:szCs w:val="24"/>
        </w:rPr>
        <w:t xml:space="preserve">Opportunities:</w:t>
      </w:r>
    </w:p>
    <w:p>
      <w:pPr>
        <w:spacing w:after="80"/>
      </w:pPr>
      <w:r>
        <w:rPr>
          <w:color w:val="475569"/>
          <w:sz w:val="22"/>
          <w:szCs w:val="22"/>
        </w:rPr>
        <w:t xml:space="preserve">→ Reduce CPL by pausing ads with CTR below 3.8% average</w:t>
      </w:r>
    </w:p>
    <w:p>
      <w:pPr>
        <w:spacing w:after="80"/>
      </w:pPr>
      <w:r>
        <w:rPr>
          <w:color w:val="475569"/>
          <w:sz w:val="22"/>
          <w:szCs w:val="22"/>
        </w:rPr>
        <w:t xml:space="preserve">→ Scale spend on winning ad creatives to increase volume</w:t>
      </w:r>
    </w:p>
    <w:p>
      <w:pPr>
        <w:spacing w:after="80"/>
      </w:pPr>
      <w:r>
        <w:rPr>
          <w:color w:val="475569"/>
          <w:sz w:val="22"/>
          <w:szCs w:val="22"/>
        </w:rPr>
        <w:t xml:space="preserve">→ Create new ad variations based on top-performing creative patterns</w:t>
      </w:r>
    </w:p>
    <w:p>
      <w:pPr>
        <w:spacing w:after="80"/>
      </w:pPr>
      <w:r>
        <w:rPr>
          <w:color w:val="475569"/>
          <w:sz w:val="22"/>
          <w:szCs w:val="22"/>
        </w:rPr>
        <w:t xml:space="preserve">→ Expand audience targeting based on demographic insights</w:t>
      </w:r>
    </w:p>
    <w:p>
      <w:pPr>
        <w:spacing w:after="200"/>
      </w:pPr>
    </w:p>
    <w:p>
      <w:pPr>
        <w:pStyle w:val="Heading2"/>
        <w:spacing w:before="200" w:after="120"/>
      </w:pPr>
      <w:r>
        <w:rPr>
          <w:b/>
          <w:bCs/>
          <w:color w:val="1E293B"/>
          <w:sz w:val="28"/>
          <w:szCs w:val="28"/>
        </w:rPr>
        <w:t xml:space="preserve">Recommended Next Steps</w:t>
      </w:r>
    </w:p>
    <w:p>
      <w:pPr>
        <w:spacing w:after="80"/>
      </w:pPr>
      <w:r>
        <w:rPr>
          <w:color w:val="475569"/>
          <w:sz w:val="22"/>
          <w:szCs w:val="22"/>
        </w:rPr>
        <w:t xml:space="preserve">▸ Increase budget on top 2 performers by 20-30%</w:t>
      </w:r>
    </w:p>
    <w:p>
      <w:pPr>
        <w:spacing w:after="80"/>
      </w:pPr>
      <w:r>
        <w:rPr>
          <w:color w:val="475569"/>
          <w:sz w:val="22"/>
          <w:szCs w:val="22"/>
        </w:rPr>
        <w:t xml:space="preserve">▸ Review underperforming ads and pause or refresh creative</w:t>
      </w:r>
    </w:p>
    <w:p>
      <w:pPr>
        <w:spacing w:after="80"/>
      </w:pPr>
      <w:r>
        <w:rPr>
          <w:color w:val="475569"/>
          <w:sz w:val="22"/>
          <w:szCs w:val="22"/>
        </w:rPr>
        <w:t xml:space="preserve">▸ Set up A/B experiment for new headline or creative variation</w:t>
      </w:r>
    </w:p>
    <w:p>
      <w:pPr>
        <w:spacing w:after="80"/>
      </w:pPr>
      <w:r>
        <w:rPr>
          <w:color w:val="475569"/>
          <w:sz w:val="22"/>
          <w:szCs w:val="22"/>
        </w:rPr>
        <w:t xml:space="preserve">▸ Monitor frequency caps to avoid ad fatigue</w:t>
      </w:r>
    </w:p>
    <w:p>
      <w:pPr>
        <w:spacing w:after="300"/>
      </w:pPr>
    </w:p>
    <w:p>
      <w:pPr>
        <w:jc w:val="center"/>
      </w:pPr>
      <w:r>
        <w:drawing>
          <wp:inline distT="0" distB="0" distL="0" distR="0">
            <wp:extent cx="5524500" cy="6858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6858000"/>
                    </a:xfrm>
                    <a:prstGeom prst="rect">
                      <a:avLst/>
                    </a:prstGeom>
                    <a:noFill/>
                    <a:ln>
                      <a:noFill/>
                    </a:ln>
                  </pic:spPr>
                </pic:pic>
              </a:graphicData>
            </a:graphic>
          </wp:inline>
        </w:drawing>
      </w:r>
    </w:p>
    <w:p>
      <w:pPr>
        <w:spacing w:after="300"/>
      </w:pPr>
    </w:p>
    <w:p>
      <w:pPr>
        <w:spacing w:before="300"/>
        <w:jc w:val="center"/>
      </w:pPr>
      <w:r>
        <w:rPr>
          <w:i/>
          <w:iCs/>
          <w:color w:val="475569"/>
          <w:sz w:val="22"/>
          <w:szCs w:val="22"/>
        </w:rPr>
        <w:t xml:space="preserve">Questions? Let's chat about scaling these results.</w:t>
      </w:r>
    </w:p>
    <w:p>
      <w:pPr>
        <w:spacing w:before="360" w:after="120"/>
      </w:pPr>
      <w:r>
        <w:rPr>
          <w:b/>
          <w:sz w:val="28"/>
          <w:color w:val="1A1A2E"/>
        </w:rPr>
        <w:t>E-Commerce Purchase Funnel</w:t>
      </w:r>
    </w:p>
    <w:p>
      <w:r>
        <w:rPr>
          <w:sz w:val="20"/>
          <w:color w:val="64748B"/>
        </w:rPr>
        <w:t>Meta Pixel events: Add to Cart → Initiate Checkout → Purchase. Conversion rates show funnel efficiency at each stage.</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Period</w:t>
            </w:r>
          </w:p>
        </w:tc>
        <w:tc>
          <w:tcPr>
            <w:tcW w:w="1700" w:type="dxa"/>
            <w:shd w:fill="1A1A2E"/>
          </w:tcPr>
          <w:p>
            <w:r>
              <w:rPr>
                <w:b/>
                <w:color w:val="FFFFFF"/>
              </w:rPr>
              <w:t>Add to Cart</w:t>
            </w:r>
          </w:p>
        </w:tc>
        <w:tc>
          <w:tcPr>
            <w:tcW w:w="1700" w:type="dxa"/>
            <w:shd w:fill="1A1A2E"/>
          </w:tcPr>
          <w:p>
            <w:r>
              <w:rPr>
                <w:b/>
                <w:color w:val="FFFFFF"/>
              </w:rPr>
              <w:t>Checkout</w:t>
            </w:r>
          </w:p>
        </w:tc>
        <w:tc>
          <w:tcPr>
            <w:tcW w:w="1700" w:type="dxa"/>
            <w:shd w:fill="1A1A2E"/>
          </w:tcPr>
          <w:p>
            <w:r>
              <w:rPr>
                <w:b/>
                <w:color w:val="FFFFFF"/>
              </w:rPr>
              <w:t>Purchase</w:t>
            </w:r>
          </w:p>
        </w:tc>
        <w:tc>
          <w:tcPr>
            <w:tcW w:w="1700" w:type="dxa"/>
            <w:shd w:fill="1A1A2E"/>
          </w:tcPr>
          <w:p>
            <w:r>
              <w:rPr>
                <w:b/>
                <w:color w:val="FFFFFF"/>
              </w:rPr>
              <w:t>ATC→Chkout</w:t>
            </w:r>
          </w:p>
        </w:tc>
        <w:tc>
          <w:tcPr>
            <w:tcW w:w="1700" w:type="dxa"/>
            <w:shd w:fill="1A1A2E"/>
          </w:tcPr>
          <w:p>
            <w:r>
              <w:rPr>
                <w:b/>
                <w:color w:val="FFFFFF"/>
              </w:rPr>
              <w:t>ATC→Purchase</w:t>
            </w:r>
          </w:p>
        </w:tc>
      </w:tr>
      <w:tr>
        <w:tc>
          <w:tcPr>
            <w:tcW w:w="1700" w:type="dxa"/>
          </w:tcPr>
          <w:p>
            <w:r>
              <w:rPr/>
              <w:t>This Week</w:t>
            </w:r>
          </w:p>
        </w:tc>
        <w:tc>
          <w:tcPr>
            <w:tcW w:w="1700" w:type="dxa"/>
          </w:tcPr>
          <w:p>
            <w:r>
              <w:rPr/>
              <w:t>132</w:t>
            </w:r>
          </w:p>
        </w:tc>
        <w:tc>
          <w:tcPr>
            <w:tcW w:w="1700" w:type="dxa"/>
          </w:tcPr>
          <w:p>
            <w:r>
              <w:rPr/>
              <w:t>33</w:t>
            </w:r>
          </w:p>
        </w:tc>
        <w:tc>
          <w:tcPr>
            <w:tcW w:w="1700" w:type="dxa"/>
          </w:tcPr>
          <w:p>
            <w:r>
              <w:rPr/>
              <w:t>13</w:t>
            </w:r>
          </w:p>
        </w:tc>
        <w:tc>
          <w:tcPr>
            <w:tcW w:w="1700" w:type="dxa"/>
          </w:tcPr>
          <w:p>
            <w:r>
              <w:rPr/>
              <w:t>25.00%</w:t>
            </w:r>
          </w:p>
        </w:tc>
        <w:tc>
          <w:tcPr>
            <w:tcW w:w="1700" w:type="dxa"/>
          </w:tcPr>
          <w:p>
            <w:r>
              <w:rPr/>
              <w:t>9.85%</w:t>
            </w:r>
          </w:p>
        </w:tc>
      </w:tr>
      <w:tr>
        <w:tc>
          <w:tcPr>
            <w:tcW w:w="1700" w:type="dxa"/>
          </w:tcPr>
          <w:p>
            <w:r>
              <w:rPr/>
              <w:t>Last 30 Days</w:t>
            </w:r>
          </w:p>
        </w:tc>
        <w:tc>
          <w:tcPr>
            <w:tcW w:w="1700" w:type="dxa"/>
          </w:tcPr>
          <w:p>
            <w:r>
              <w:rPr/>
              <w:t>706</w:t>
            </w:r>
          </w:p>
        </w:tc>
        <w:tc>
          <w:tcPr>
            <w:tcW w:w="1700" w:type="dxa"/>
          </w:tcPr>
          <w:p>
            <w:r>
              <w:rPr/>
              <w:t>152</w:t>
            </w:r>
          </w:p>
        </w:tc>
        <w:tc>
          <w:tcPr>
            <w:tcW w:w="1700" w:type="dxa"/>
          </w:tcPr>
          <w:p>
            <w:r>
              <w:rPr/>
              <w:t>133</w:t>
            </w:r>
          </w:p>
        </w:tc>
        <w:tc>
          <w:tcPr>
            <w:tcW w:w="1700" w:type="dxa"/>
          </w:tcPr>
          <w:p>
            <w:r>
              <w:rPr/>
              <w:t>21.53%</w:t>
            </w:r>
          </w:p>
        </w:tc>
        <w:tc>
          <w:tcPr>
            <w:tcW w:w="1700" w:type="dxa"/>
          </w:tcPr>
          <w:p>
            <w:r>
              <w:rPr/>
              <w:t>18.84%</w:t>
            </w:r>
          </w:p>
        </w:tc>
      </w:tr>
      <w:tr>
        <w:tc>
          <w:tcPr>
            <w:tcW w:w="1700" w:type="dxa"/>
          </w:tcPr>
          <w:p>
            <w:r>
              <w:rPr/>
              <w:t>Campaign to Date</w:t>
            </w:r>
          </w:p>
        </w:tc>
        <w:tc>
          <w:tcPr>
            <w:tcW w:w="1700" w:type="dxa"/>
          </w:tcPr>
          <w:p>
            <w:r>
              <w:rPr/>
              <w:t>3683</w:t>
            </w:r>
          </w:p>
        </w:tc>
        <w:tc>
          <w:tcPr>
            <w:tcW w:w="1700" w:type="dxa"/>
          </w:tcPr>
          <w:p>
            <w:r>
              <w:rPr/>
              <w:t>932</w:t>
            </w:r>
          </w:p>
        </w:tc>
        <w:tc>
          <w:tcPr>
            <w:tcW w:w="1700" w:type="dxa"/>
          </w:tcPr>
          <w:p>
            <w:r>
              <w:rPr/>
              <w:t>673</w:t>
            </w:r>
          </w:p>
        </w:tc>
        <w:tc>
          <w:tcPr>
            <w:tcW w:w="1700" w:type="dxa"/>
          </w:tcPr>
          <w:p>
            <w:r>
              <w:rPr/>
              <w:t>25.31%</w:t>
            </w:r>
          </w:p>
        </w:tc>
        <w:tc>
          <w:tcPr>
            <w:tcW w:w="1700" w:type="dxa"/>
          </w:tcPr>
          <w:p>
            <w:r>
              <w:rPr/>
              <w:t>18.27%</w:t>
            </w:r>
          </w:p>
        </w:tc>
      </w:tr>
    </w:tbl>
    <w:p>
      <w:pPr>
        <w:spacing w:before="360" w:after="120"/>
      </w:pPr>
      <w:r>
        <w:rPr>
          <w:b/>
          <w:sz w:val="28"/>
          <w:color w:val="1A1A2E"/>
        </w:rPr>
        <w:t>Purchase Funnel — Add to Cart → Checkout → Purchase</w:t>
      </w:r>
    </w:p>
    <w:p>
      <w:r>
        <w:rPr>
          <w:sz w:val="20"/>
          <w:color w:val="64748B"/>
        </w:rPr>
        <w:t>Meta Pixel events showing the full e-commerce purchase journey. ATC → Checkout rate and Checkout → Purchase rate indicate funnel health.</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Stage</w:t>
            </w:r>
          </w:p>
        </w:tc>
        <w:tc>
          <w:tcPr>
            <w:tcW w:w="1700" w:type="dxa"/>
            <w:shd w:fill="1A1A2E"/>
          </w:tcPr>
          <w:p>
            <w:r>
              <w:rPr>
                <w:b/>
                <w:color w:val="FFFFFF"/>
              </w:rPr>
              <w:t>This Week</w:t>
            </w:r>
          </w:p>
        </w:tc>
        <w:tc>
          <w:tcPr>
            <w:tcW w:w="1700" w:type="dxa"/>
            <w:shd w:fill="1A1A2E"/>
          </w:tcPr>
          <w:p>
            <w:r>
              <w:rPr>
                <w:b/>
                <w:color w:val="FFFFFF"/>
              </w:rPr>
              <w:t>ATC→Checkout</w:t>
            </w:r>
          </w:p>
        </w:tc>
        <w:tc>
          <w:tcPr>
            <w:tcW w:w="1700" w:type="dxa"/>
            <w:shd w:fill="1A1A2E"/>
          </w:tcPr>
          <w:p>
            <w:r>
              <w:rPr>
                <w:b/>
                <w:color w:val="FFFFFF"/>
              </w:rPr>
              <w:t>Checkout→Purchase</w:t>
            </w:r>
          </w:p>
        </w:tc>
      </w:tr>
      <w:tr>
        <w:tc>
          <w:tcPr>
            <w:tcW w:w="1700" w:type="dxa"/>
          </w:tcPr>
          <w:p>
            <w:r>
              <w:rPr/>
              <w:t>Add to Cart</w:t>
            </w:r>
          </w:p>
        </w:tc>
        <w:tc>
          <w:tcPr>
            <w:tcW w:w="1700" w:type="dxa"/>
          </w:tcPr>
          <w:p>
            <w:r>
              <w:rPr/>
              <w:t>132</w:t>
            </w:r>
          </w:p>
        </w:tc>
        <w:tc>
          <w:tcPr>
            <w:tcW w:w="1700" w:type="dxa"/>
          </w:tcPr>
          <w:p>
            <w:r>
              <w:rPr/>
              <w:t>25.0%</w:t>
            </w:r>
          </w:p>
        </w:tc>
        <w:tc>
          <w:tcPr>
            <w:tcW w:w="1700" w:type="dxa"/>
          </w:tcPr>
          <w:p>
            <w:r>
              <w:rPr/>
              <w:t>—</w:t>
            </w:r>
          </w:p>
        </w:tc>
      </w:tr>
      <w:tr>
        <w:tc>
          <w:tcPr>
            <w:tcW w:w="1700" w:type="dxa"/>
          </w:tcPr>
          <w:p>
            <w:r>
              <w:rPr/>
              <w:t>Checkout</w:t>
            </w:r>
          </w:p>
        </w:tc>
        <w:tc>
          <w:tcPr>
            <w:tcW w:w="1700" w:type="dxa"/>
          </w:tcPr>
          <w:p>
            <w:r>
              <w:rPr/>
              <w:t>33</w:t>
            </w:r>
          </w:p>
        </w:tc>
        <w:tc>
          <w:tcPr>
            <w:tcW w:w="1700" w:type="dxa"/>
          </w:tcPr>
          <w:p>
            <w:r>
              <w:rPr/>
              <w:t>—</w:t>
            </w:r>
          </w:p>
        </w:tc>
        <w:tc>
          <w:tcPr>
            <w:tcW w:w="1700" w:type="dxa"/>
          </w:tcPr>
          <w:p>
            <w:r>
              <w:rPr/>
              <w:t>39.4%</w:t>
            </w:r>
          </w:p>
        </w:tc>
      </w:tr>
      <w:tr>
        <w:tc>
          <w:tcPr>
            <w:tcW w:w="1700" w:type="dxa"/>
          </w:tcPr>
          <w:p>
            <w:r>
              <w:rPr/>
              <w:t>Purchase</w:t>
            </w:r>
          </w:p>
        </w:tc>
        <w:tc>
          <w:tcPr>
            <w:tcW w:w="1700" w:type="dxa"/>
          </w:tcPr>
          <w:p>
            <w:r>
              <w:rPr/>
              <w:t>13</w:t>
            </w:r>
          </w:p>
        </w:tc>
        <w:tc>
          <w:tcPr>
            <w:tcW w:w="1700" w:type="dxa"/>
          </w:tcPr>
          <w:p>
            <w:r>
              <w:rPr/>
              <w:t>—</w:t>
            </w:r>
          </w:p>
        </w:tc>
        <w:tc>
          <w:tcPr>
            <w:tcW w:w="1700" w:type="dxa"/>
          </w:tcPr>
          <w:p>
            <w:r>
              <w:rPr/>
              <w:t>—</w:t>
            </w:r>
          </w:p>
        </w:tc>
      </w:tr>
    </w:tbl>
    <w:p>
      <w:pPr>
        <w:spacing w:before="360" w:after="120"/>
      </w:pPr>
      <w:r>
        <w:rPr>
          <w:b/>
          <w:sz w:val="28"/>
          <w:color w:val="1A1A2E"/>
        </w:rPr>
        <w:t>Backend Sales Reconciliation — WooCommerce Source of Truth</w:t>
      </w:r>
    </w:p>
    <w:p>
      <w:r>
        <w:rPr>
          <w:sz w:val="20"/>
          <w:color w:val="64748B"/>
        </w:rPr>
        <w:t>WooCommerce paid order IDs are the deduped business result. Meta Ads Manager purchases are the ad-attribution result. They are reconciled side-by-side and never added together.</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Period</w:t>
            </w:r>
          </w:p>
        </w:tc>
        <w:tc>
          <w:tcPr>
            <w:tcW w:w="1700" w:type="dxa"/>
            <w:shd w:fill="1A1A2E"/>
          </w:tcPr>
          <w:p>
            <w:r>
              <w:rPr>
                <w:b/>
                <w:color w:val="FFFFFF"/>
              </w:rPr>
              <w:t>Woo Paid Kit Orders</w:t>
            </w:r>
          </w:p>
        </w:tc>
        <w:tc>
          <w:tcPr>
            <w:tcW w:w="1700" w:type="dxa"/>
            <w:shd w:fill="1A1A2E"/>
          </w:tcPr>
          <w:p>
            <w:r>
              <w:rPr>
                <w:b/>
                <w:color w:val="FFFFFF"/>
              </w:rPr>
              <w:t>Woo Revenue</w:t>
            </w:r>
          </w:p>
        </w:tc>
        <w:tc>
          <w:tcPr>
            <w:tcW w:w="1700" w:type="dxa"/>
            <w:shd w:fill="1A1A2E"/>
          </w:tcPr>
          <w:p>
            <w:r>
              <w:rPr>
                <w:b/>
                <w:color w:val="FFFFFF"/>
              </w:rPr>
              <w:t>Meta Purchases</w:t>
            </w:r>
          </w:p>
        </w:tc>
        <w:tc>
          <w:tcPr>
            <w:tcW w:w="1700" w:type="dxa"/>
            <w:shd w:fill="1A1A2E"/>
          </w:tcPr>
          <w:p>
            <w:r>
              <w:rPr>
                <w:b/>
                <w:color w:val="FFFFFF"/>
              </w:rPr>
              <w:t>Meta Value</w:t>
            </w:r>
          </w:p>
        </w:tc>
        <w:tc>
          <w:tcPr>
            <w:tcW w:w="1700" w:type="dxa"/>
            <w:shd w:fill="1A1A2E"/>
          </w:tcPr>
          <w:p>
            <w:r>
              <w:rPr>
                <w:b/>
                <w:color w:val="FFFFFF"/>
              </w:rPr>
              <w:t>Meta/Woo Ratio</w:t>
            </w:r>
          </w:p>
        </w:tc>
        <w:tc>
          <w:tcPr>
            <w:tcW w:w="1700" w:type="dxa"/>
            <w:shd w:fill="1A1A2E"/>
          </w:tcPr>
          <w:p>
            <w:r>
              <w:rPr>
                <w:b/>
                <w:color w:val="FFFFFF"/>
              </w:rPr>
              <w:t>Backend ROAS</w:t>
            </w:r>
          </w:p>
        </w:tc>
      </w:tr>
      <w:tr>
        <w:tc>
          <w:tcPr>
            <w:tcW w:w="1700" w:type="dxa"/>
          </w:tcPr>
          <w:p>
            <w:r>
              <w:rPr/>
              <w:t>This Week</w:t>
            </w:r>
          </w:p>
        </w:tc>
        <w:tc>
          <w:tcPr>
            <w:tcW w:w="1700" w:type="dxa"/>
          </w:tcPr>
          <w:p>
            <w:r>
              <w:rPr/>
              <w:t>15</w:t>
            </w:r>
          </w:p>
        </w:tc>
        <w:tc>
          <w:tcPr>
            <w:tcW w:w="1700" w:type="dxa"/>
          </w:tcPr>
          <w:p>
            <w:r>
              <w:rPr/>
              <w:t>$8,705.88</w:t>
            </w:r>
          </w:p>
        </w:tc>
        <w:tc>
          <w:tcPr>
            <w:tcW w:w="1700" w:type="dxa"/>
          </w:tcPr>
          <w:p>
            <w:r>
              <w:rPr/>
              <w:t>13</w:t>
            </w:r>
          </w:p>
        </w:tc>
        <w:tc>
          <w:tcPr>
            <w:tcW w:w="1700" w:type="dxa"/>
          </w:tcPr>
          <w:p>
            <w:r>
              <w:rPr/>
              <w:t>$650.00</w:t>
            </w:r>
          </w:p>
        </w:tc>
        <w:tc>
          <w:tcPr>
            <w:tcW w:w="1700" w:type="dxa"/>
          </w:tcPr>
          <w:p>
            <w:r>
              <w:rPr/>
              <w:t>86.67%</w:t>
            </w:r>
          </w:p>
        </w:tc>
        <w:tc>
          <w:tcPr>
            <w:tcW w:w="1700" w:type="dxa"/>
          </w:tcPr>
          <w:p>
            <w:r>
              <w:rPr/>
              <w:t>15.69x</w:t>
            </w:r>
          </w:p>
        </w:tc>
      </w:tr>
      <w:tr>
        <w:tc>
          <w:tcPr>
            <w:tcW w:w="1700" w:type="dxa"/>
          </w:tcPr>
          <w:p>
            <w:r>
              <w:rPr/>
              <w:t>Last 30 Days</w:t>
            </w:r>
          </w:p>
        </w:tc>
        <w:tc>
          <w:tcPr>
            <w:tcW w:w="1700" w:type="dxa"/>
          </w:tcPr>
          <w:p>
            <w:r>
              <w:rPr/>
              <w:t>66</w:t>
            </w:r>
          </w:p>
        </w:tc>
        <w:tc>
          <w:tcPr>
            <w:tcW w:w="1700" w:type="dxa"/>
          </w:tcPr>
          <w:p>
            <w:r>
              <w:rPr/>
              <w:t>$33,190.06</w:t>
            </w:r>
          </w:p>
        </w:tc>
        <w:tc>
          <w:tcPr>
            <w:tcW w:w="1700" w:type="dxa"/>
          </w:tcPr>
          <w:p>
            <w:r>
              <w:rPr/>
              <w:t>133</w:t>
            </w:r>
          </w:p>
        </w:tc>
        <w:tc>
          <w:tcPr>
            <w:tcW w:w="1700" w:type="dxa"/>
          </w:tcPr>
          <w:p>
            <w:r>
              <w:rPr/>
              <w:t>$6,650.00</w:t>
            </w:r>
          </w:p>
        </w:tc>
        <w:tc>
          <w:tcPr>
            <w:tcW w:w="1700" w:type="dxa"/>
          </w:tcPr>
          <w:p>
            <w:r>
              <w:rPr/>
              <w:t>201.52%</w:t>
            </w:r>
          </w:p>
        </w:tc>
        <w:tc>
          <w:tcPr>
            <w:tcW w:w="1700" w:type="dxa"/>
          </w:tcPr>
          <w:p>
            <w:r>
              <w:rPr/>
              <w:t>13.87x</w:t>
            </w:r>
          </w:p>
        </w:tc>
      </w:tr>
      <w:tr>
        <w:tc>
          <w:tcPr>
            <w:tcW w:w="1700" w:type="dxa"/>
          </w:tcPr>
          <w:p>
            <w:r>
              <w:rPr/>
              <w:t>Campaign to Date</w:t>
            </w:r>
          </w:p>
        </w:tc>
        <w:tc>
          <w:tcPr>
            <w:tcW w:w="1700" w:type="dxa"/>
          </w:tcPr>
          <w:p>
            <w:r>
              <w:rPr/>
              <w:t>474</w:t>
            </w:r>
          </w:p>
        </w:tc>
        <w:tc>
          <w:tcPr>
            <w:tcW w:w="1700" w:type="dxa"/>
          </w:tcPr>
          <w:p>
            <w:r>
              <w:rPr/>
              <w:t>$235,789.01</w:t>
            </w:r>
          </w:p>
        </w:tc>
        <w:tc>
          <w:tcPr>
            <w:tcW w:w="1700" w:type="dxa"/>
          </w:tcPr>
          <w:p>
            <w:r>
              <w:rPr/>
              <w:t>673</w:t>
            </w:r>
          </w:p>
        </w:tc>
        <w:tc>
          <w:tcPr>
            <w:tcW w:w="1700" w:type="dxa"/>
          </w:tcPr>
          <w:p>
            <w:r>
              <w:rPr/>
              <w:t>$33,650.00</w:t>
            </w:r>
          </w:p>
        </w:tc>
        <w:tc>
          <w:tcPr>
            <w:tcW w:w="1700" w:type="dxa"/>
          </w:tcPr>
          <w:p>
            <w:r>
              <w:rPr/>
              <w:t>141.98%</w:t>
            </w:r>
          </w:p>
        </w:tc>
        <w:tc>
          <w:tcPr>
            <w:tcW w:w="1700" w:type="dxa"/>
          </w:tcPr>
          <w:p>
            <w:r>
              <w:rPr/>
              <w:t>22.80x</w:t>
            </w:r>
          </w:p>
        </w:tc>
      </w:tr>
    </w:tbl>
    <w:p>
      <w:pPr>
        <w:spacing w:before="240" w:after="120"/>
      </w:pPr>
      <w:r>
        <w:rPr>
          <w:b/>
          <w:sz w:val="24"/>
          <w:color w:val="1A1A2E"/>
        </w:rPr>
        <w:t>This Week Kit Mix</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Product</w:t>
            </w:r>
          </w:p>
        </w:tc>
        <w:tc>
          <w:tcPr>
            <w:tcW w:w="1700" w:type="dxa"/>
            <w:shd w:fill="1A1A2E"/>
          </w:tcPr>
          <w:p>
            <w:r>
              <w:rPr>
                <w:b/>
                <w:color w:val="FFFFFF"/>
              </w:rPr>
              <w:t>Orders Containing Product</w:t>
            </w:r>
          </w:p>
        </w:tc>
        <w:tc>
          <w:tcPr>
            <w:tcW w:w="1700" w:type="dxa"/>
            <w:shd w:fill="1A1A2E"/>
          </w:tcPr>
          <w:p>
            <w:r>
              <w:rPr>
                <w:b/>
                <w:color w:val="FFFFFF"/>
              </w:rPr>
              <w:t>Units</w:t>
            </w:r>
          </w:p>
        </w:tc>
        <w:tc>
          <w:tcPr>
            <w:tcW w:w="1700" w:type="dxa"/>
            <w:shd w:fill="1A1A2E"/>
          </w:tcPr>
          <w:p>
            <w:r>
              <w:rPr>
                <w:b/>
                <w:color w:val="FFFFFF"/>
              </w:rPr>
              <w:t>Item Revenue</w:t>
            </w:r>
          </w:p>
        </w:tc>
      </w:tr>
      <w:tr>
        <w:tc>
          <w:tcPr>
            <w:tcW w:w="1700" w:type="dxa"/>
          </w:tcPr>
          <w:p>
            <w:r>
              <w:rPr/>
              <w:t>IM Kit</w:t>
            </w:r>
          </w:p>
        </w:tc>
        <w:tc>
          <w:tcPr>
            <w:tcW w:w="1700" w:type="dxa"/>
          </w:tcPr>
          <w:p>
            <w:r>
              <w:rPr/>
              <w:t>8</w:t>
            </w:r>
          </w:p>
        </w:tc>
        <w:tc>
          <w:tcPr>
            <w:tcW w:w="1700" w:type="dxa"/>
          </w:tcPr>
          <w:p>
            <w:r>
              <w:rPr/>
              <w:t>8</w:t>
            </w:r>
          </w:p>
        </w:tc>
        <w:tc>
          <w:tcPr>
            <w:tcW w:w="1700" w:type="dxa"/>
          </w:tcPr>
          <w:p>
            <w:r>
              <w:rPr/>
              <w:t>$3,143.01</w:t>
            </w:r>
          </w:p>
        </w:tc>
      </w:tr>
      <w:tr>
        <w:tc>
          <w:tcPr>
            <w:tcW w:w="1700" w:type="dxa"/>
          </w:tcPr>
          <w:p>
            <w:r>
              <w:rPr/>
              <w:t>SubQ Kit</w:t>
            </w:r>
          </w:p>
        </w:tc>
        <w:tc>
          <w:tcPr>
            <w:tcW w:w="1700" w:type="dxa"/>
          </w:tcPr>
          <w:p>
            <w:r>
              <w:rPr/>
              <w:t>8</w:t>
            </w:r>
          </w:p>
        </w:tc>
        <w:tc>
          <w:tcPr>
            <w:tcW w:w="1700" w:type="dxa"/>
          </w:tcPr>
          <w:p>
            <w:r>
              <w:rPr/>
              <w:t>10</w:t>
            </w:r>
          </w:p>
        </w:tc>
        <w:tc>
          <w:tcPr>
            <w:tcW w:w="1700" w:type="dxa"/>
          </w:tcPr>
          <w:p>
            <w:r>
              <w:rPr/>
              <w:t>$3,543.78</w:t>
            </w:r>
          </w:p>
        </w:tc>
      </w:tr>
    </w:tbl>
    <w:p>
      <w:pPr>
        <w:spacing w:before="240" w:after="120"/>
      </w:pPr>
      <w:r>
        <w:rPr>
          <w:b/>
          <w:sz w:val="24"/>
          <w:color w:val="1A1A2E"/>
        </w:rPr>
        <w:t>This Week Meta vs Woo Reconciliation</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Metric</w:t>
            </w:r>
          </w:p>
        </w:tc>
        <w:tc>
          <w:tcPr>
            <w:tcW w:w="1700" w:type="dxa"/>
            <w:shd w:fill="1A1A2E"/>
          </w:tcPr>
          <w:p>
            <w:r>
              <w:rPr>
                <w:b/>
                <w:color w:val="FFFFFF"/>
              </w:rPr>
              <w:t>Value</w:t>
            </w:r>
          </w:p>
        </w:tc>
      </w:tr>
      <w:tr>
        <w:tc>
          <w:tcPr>
            <w:tcW w:w="1700" w:type="dxa"/>
          </w:tcPr>
          <w:p>
            <w:r>
              <w:rPr/>
              <w:t>Woo paid kit orders</w:t>
            </w:r>
          </w:p>
        </w:tc>
        <w:tc>
          <w:tcPr>
            <w:tcW w:w="1700" w:type="dxa"/>
          </w:tcPr>
          <w:p>
            <w:r>
              <w:rPr/>
              <w:t>15</w:t>
            </w:r>
          </w:p>
        </w:tc>
      </w:tr>
      <w:tr>
        <w:tc>
          <w:tcPr>
            <w:tcW w:w="1700" w:type="dxa"/>
          </w:tcPr>
          <w:p>
            <w:r>
              <w:rPr/>
              <w:t>Woo paid kit revenue</w:t>
            </w:r>
          </w:p>
        </w:tc>
        <w:tc>
          <w:tcPr>
            <w:tcW w:w="1700" w:type="dxa"/>
          </w:tcPr>
          <w:p>
            <w:r>
              <w:rPr/>
              <w:t>$8,705.88</w:t>
            </w:r>
          </w:p>
        </w:tc>
      </w:tr>
      <w:tr>
        <w:tc>
          <w:tcPr>
            <w:tcW w:w="1700" w:type="dxa"/>
          </w:tcPr>
          <w:p>
            <w:r>
              <w:rPr/>
              <w:t>Meta Ads Manager purchases</w:t>
            </w:r>
          </w:p>
        </w:tc>
        <w:tc>
          <w:tcPr>
            <w:tcW w:w="1700" w:type="dxa"/>
          </w:tcPr>
          <w:p>
            <w:r>
              <w:rPr/>
              <w:t>13</w:t>
            </w:r>
          </w:p>
        </w:tc>
      </w:tr>
      <w:tr>
        <w:tc>
          <w:tcPr>
            <w:tcW w:w="1700" w:type="dxa"/>
          </w:tcPr>
          <w:p>
            <w:r>
              <w:rPr/>
              <w:t>Meta attributed purchase value</w:t>
            </w:r>
          </w:p>
        </w:tc>
        <w:tc>
          <w:tcPr>
            <w:tcW w:w="1700" w:type="dxa"/>
          </w:tcPr>
          <w:p>
            <w:r>
              <w:rPr/>
              <w:t>$650.00</w:t>
            </w:r>
          </w:p>
        </w:tc>
      </w:tr>
      <w:tr>
        <w:tc>
          <w:tcPr>
            <w:tcW w:w="1700" w:type="dxa"/>
          </w:tcPr>
          <w:p>
            <w:r>
              <w:rPr/>
              <w:t>Woo minus Meta purchase delta</w:t>
            </w:r>
          </w:p>
        </w:tc>
        <w:tc>
          <w:tcPr>
            <w:tcW w:w="1700" w:type="dxa"/>
          </w:tcPr>
          <w:p>
            <w:r>
              <w:rPr/>
              <w:t>+2 order(s)</w:t>
            </w:r>
          </w:p>
        </w:tc>
      </w:tr>
      <w:tr>
        <w:tc>
          <w:tcPr>
            <w:tcW w:w="1700" w:type="dxa"/>
          </w:tcPr>
          <w:p>
            <w:r>
              <w:rPr/>
              <w:t>Backend ROAS on Meta spend</w:t>
            </w:r>
          </w:p>
        </w:tc>
        <w:tc>
          <w:tcPr>
            <w:tcW w:w="1700" w:type="dxa"/>
          </w:tcPr>
          <w:p>
            <w:r>
              <w:rPr/>
              <w:t>15.69x</w:t>
            </w:r>
          </w:p>
        </w:tc>
      </w:tr>
    </w:tbl>
    <w:p>
      <w:r>
        <w:rPr>
          <w:sz w:val="18"/>
          <w:color w:val="64748B"/>
        </w:rPr>
        <w:t>Important: Woo checkout source/referrer metadata is not used as ad attribution in this report because returning sessions often lose fbclid/_fbc and can show as Direct or Google. Meta Ads Manager remains the source for ad-attributed purchases; WooCommerce remains the source for paid order truth.</w:t>
      </w:r>
    </w:p>
    <w:p>
      <w:pPr>
        <w:spacing w:before="360" w:after="120"/>
      </w:pPr>
      <w:r>
        <w:rPr>
          <w:b/>
          <w:sz w:val="28"/>
          <w:color w:val="1A1A2E"/>
        </w:rPr>
        <w:t>Traffic + Revenue Mix — GA4 Pie Graphs</w:t>
      </w:r>
    </w:p>
    <w:p>
      <w:r>
        <w:rPr>
          <w:sz w:val="20"/>
          <w:color w:val="64748B"/>
        </w:rPr>
        <w:t>GA4 source/channel revenue mix from property 376212605. Shows the selected report period, matched previous period, and trailing 30 days as separate pie graphs in one row. Unclassified rows are attributed by source/medium where possible and otherwise excluded from the client-facing pie mix. Use WooCommerce above as deduped paid kit order truth.</w:t>
      </w:r>
    </w:p>
    <w:tbl>
      <w:tblPr>
        <w:tblW w:w="9504" w:type="dxa"/>
        <w:tblLayout w:type="fixed"/>
        <w:tblCellMar>
          <w:top w:w="0" w:type="dxa"/>
          <w:left w:w="60" w:type="dxa"/>
          <w:bottom w:w="0" w:type="dxa"/>
          <w:right w:w="60" w:type="dxa"/>
        </w:tblCellMar>
      </w:tblPr>
      <w:tr>
        <w:tc>
          <w:tcPr>
            <w:tcW w:w="3168" w:type="dxa"/>
            <w:vAlign w:val="center"/>
          </w:tcPr>
          <w:p>
            <w:pPr>
              <w:jc w:val="center"/>
            </w:pPr>
            <w:r>
              <w:drawing>
                <wp:inline xmlns:wp="http://schemas.openxmlformats.org/drawingml/2006/wordprocessingDrawing" distT="0" distB="0" distL="0" distR="0">
                  <wp:extent cx="1980000" cy="1600200"/>
                  <wp:effectExtent l="0" t="0" r="0" b="0"/>
                  <wp:docPr id="15" name="ga4-source-mix-current-17784773645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4-source-mix-current-1778477364595-0.png"/>
                          <pic:cNvPicPr/>
                        </pic:nvPicPr>
                        <pic:blipFill>
                          <a:blip xmlns:r="http://schemas.openxmlformats.org/officeDocument/2006/relationships" r:embed="rId15"/>
                          <a:stretch>
                            <a:fillRect/>
                          </a:stretch>
                        </pic:blipFill>
                        <pic:spPr>
                          <a:xfrm>
                            <a:off x="0" y="0"/>
                            <a:ext cx="1980000" cy="1600200"/>
                          </a:xfrm>
                          <a:prstGeom prst="rect">
                            <a:avLst/>
                          </a:prstGeom>
                        </pic:spPr>
                      </pic:pic>
                    </a:graphicData>
                  </a:graphic>
                </wp:inline>
              </w:drawing>
            </w:r>
          </w:p>
        </w:tc>
        <w:tc>
          <w:tcPr>
            <w:tcW w:w="3168" w:type="dxa"/>
            <w:vAlign w:val="center"/>
          </w:tcPr>
          <w:p>
            <w:pPr>
              <w:jc w:val="center"/>
            </w:pPr>
            <w:r>
              <w:drawing>
                <wp:inline xmlns:wp="http://schemas.openxmlformats.org/drawingml/2006/wordprocessingDrawing" distT="0" distB="0" distL="0" distR="0">
                  <wp:extent cx="1980000" cy="1600200"/>
                  <wp:effectExtent l="0" t="0" r="0" b="0"/>
                  <wp:docPr id="16" name="ga4-source-mix-previous-177847736459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4-source-mix-previous-1778477364596-1.png"/>
                          <pic:cNvPicPr/>
                        </pic:nvPicPr>
                        <pic:blipFill>
                          <a:blip xmlns:r="http://schemas.openxmlformats.org/officeDocument/2006/relationships" r:embed="rId16"/>
                          <a:stretch>
                            <a:fillRect/>
                          </a:stretch>
                        </pic:blipFill>
                        <pic:spPr>
                          <a:xfrm>
                            <a:off x="0" y="0"/>
                            <a:ext cx="1980000" cy="1600200"/>
                          </a:xfrm>
                          <a:prstGeom prst="rect">
                            <a:avLst/>
                          </a:prstGeom>
                        </pic:spPr>
                      </pic:pic>
                    </a:graphicData>
                  </a:graphic>
                </wp:inline>
              </w:drawing>
            </w:r>
          </w:p>
        </w:tc>
        <w:tc>
          <w:tcPr>
            <w:tcW w:w="3168" w:type="dxa"/>
            <w:vAlign w:val="center"/>
          </w:tcPr>
          <w:p>
            <w:pPr>
              <w:jc w:val="center"/>
            </w:pPr>
            <w:r>
              <w:drawing>
                <wp:inline xmlns:wp="http://schemas.openxmlformats.org/drawingml/2006/wordprocessingDrawing" distT="0" distB="0" distL="0" distR="0">
                  <wp:extent cx="1980000" cy="1600200"/>
                  <wp:effectExtent l="0" t="0" r="0" b="0"/>
                  <wp:docPr id="17" name="ga4-source-mix-month-177847736459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4-source-mix-month-1778477364596-2.png"/>
                          <pic:cNvPicPr/>
                        </pic:nvPicPr>
                        <pic:blipFill>
                          <a:blip xmlns:r="http://schemas.openxmlformats.org/officeDocument/2006/relationships" r:embed="rId17"/>
                          <a:stretch>
                            <a:fillRect/>
                          </a:stretch>
                        </pic:blipFill>
                        <pic:spPr>
                          <a:xfrm>
                            <a:off x="0" y="0"/>
                            <a:ext cx="1980000" cy="1600200"/>
                          </a:xfrm>
                          <a:prstGeom prst="rect">
                            <a:avLst/>
                          </a:prstGeom>
                        </pic:spPr>
                      </pic:pic>
                    </a:graphicData>
                  </a:graphic>
                </wp:inline>
              </w:drawing>
            </w:r>
          </w:p>
        </w:tc>
      </w:tr>
    </w:tbl>
    <w:p>
      <w:r>
        <w:rPr>
          <w:sz w:val="20"/>
          <w:color w:val="64748B"/>
        </w:rPr>
        <w:t>Organic Search this week: 1571 sessions, 5 transaction(s), $1,931.37 revenue (50.4% revenue vs prior week). Paid Social this week: 636 sessions, 2 transaction(s), $1,255.25 revenue (new revenue vs prior week).</w:t>
      </w:r>
    </w:p>
    <w:tbl>
      <w:tblPr>
        <w:tblW w:w="0" w:type="auto"/>
        <w:tblBorders>
          <w:top w:val="single" w:sz="4"/>
          <w:left w:val="single" w:sz="4"/>
          <w:bottom w:val="single" w:sz="4"/>
          <w:right w:val="single" w:sz="4"/>
          <w:insideH w:val="single" w:sz="4"/>
          <w:insideV w:val="single" w:sz="4"/>
        </w:tblBorders>
      </w:tblPr>
      <w:tr>
        <w:tc>
          <w:tcPr>
            <w:tcW w:w="1700" w:type="dxa"/>
            <w:shd w:fill="1A1A2E"/>
          </w:tcPr>
          <w:p>
            <w:r>
              <w:rPr>
                <w:b/>
                <w:color w:val="FFFFFF"/>
              </w:rPr>
              <w:t>Period</w:t>
            </w:r>
          </w:p>
        </w:tc>
        <w:tc>
          <w:tcPr>
            <w:tcW w:w="1700" w:type="dxa"/>
            <w:shd w:fill="1A1A2E"/>
          </w:tcPr>
          <w:p>
            <w:r>
              <w:rPr>
                <w:b/>
                <w:color w:val="FFFFFF"/>
              </w:rPr>
              <w:t>Sessions</w:t>
            </w:r>
          </w:p>
        </w:tc>
        <w:tc>
          <w:tcPr>
            <w:tcW w:w="1700" w:type="dxa"/>
            <w:shd w:fill="1A1A2E"/>
          </w:tcPr>
          <w:p>
            <w:r>
              <w:rPr>
                <w:b/>
                <w:color w:val="FFFFFF"/>
              </w:rPr>
              <w:t>Transactions</w:t>
            </w:r>
          </w:p>
        </w:tc>
        <w:tc>
          <w:tcPr>
            <w:tcW w:w="1700" w:type="dxa"/>
            <w:shd w:fill="1A1A2E"/>
          </w:tcPr>
          <w:p>
            <w:r>
              <w:rPr>
                <w:b/>
                <w:color w:val="FFFFFF"/>
              </w:rPr>
              <w:t>Revenue</w:t>
            </w:r>
          </w:p>
        </w:tc>
      </w:tr>
      <w:tr>
        <w:tc>
          <w:tcPr>
            <w:tcW w:w="1700" w:type="dxa"/>
          </w:tcPr>
          <w:p>
            <w:r>
              <w:rPr/>
              <w:t>Selected Period</w:t>
            </w:r>
          </w:p>
        </w:tc>
        <w:tc>
          <w:tcPr>
            <w:tcW w:w="1700" w:type="dxa"/>
          </w:tcPr>
          <w:p>
            <w:r>
              <w:rPr/>
              <w:t>3570</w:t>
            </w:r>
          </w:p>
        </w:tc>
        <w:tc>
          <w:tcPr>
            <w:tcW w:w="1700" w:type="dxa"/>
          </w:tcPr>
          <w:p>
            <w:r>
              <w:rPr/>
              <w:t>9</w:t>
            </w:r>
          </w:p>
        </w:tc>
        <w:tc>
          <w:tcPr>
            <w:tcW w:w="1700" w:type="dxa"/>
          </w:tcPr>
          <w:p>
            <w:r>
              <w:rPr/>
              <w:t>$4,161.22</w:t>
            </w:r>
          </w:p>
        </w:tc>
      </w:tr>
      <w:tr>
        <w:tc>
          <w:tcPr>
            <w:tcW w:w="1700" w:type="dxa"/>
          </w:tcPr>
          <w:p>
            <w:r>
              <w:rPr/>
              <w:t>Previous Period</w:t>
            </w:r>
          </w:p>
        </w:tc>
        <w:tc>
          <w:tcPr>
            <w:tcW w:w="1700" w:type="dxa"/>
          </w:tcPr>
          <w:p>
            <w:r>
              <w:rPr/>
              <w:t>3545</w:t>
            </w:r>
          </w:p>
        </w:tc>
        <w:tc>
          <w:tcPr>
            <w:tcW w:w="1700" w:type="dxa"/>
          </w:tcPr>
          <w:p>
            <w:r>
              <w:rPr/>
              <w:t>14</w:t>
            </w:r>
          </w:p>
        </w:tc>
        <w:tc>
          <w:tcPr>
            <w:tcW w:w="1700" w:type="dxa"/>
          </w:tcPr>
          <w:p>
            <w:r>
              <w:rPr/>
              <w:t>$4,532.85</w:t>
            </w:r>
          </w:p>
        </w:tc>
      </w:tr>
      <w:tr>
        <w:tc>
          <w:tcPr>
            <w:tcW w:w="1700" w:type="dxa"/>
          </w:tcPr>
          <w:p>
            <w:r>
              <w:rPr/>
              <w:t>Last 30 Days</w:t>
            </w:r>
          </w:p>
        </w:tc>
        <w:tc>
          <w:tcPr>
            <w:tcW w:w="1700" w:type="dxa"/>
          </w:tcPr>
          <w:p>
            <w:r>
              <w:rPr/>
              <w:t>15183</w:t>
            </w:r>
          </w:p>
        </w:tc>
        <w:tc>
          <w:tcPr>
            <w:tcW w:w="1700" w:type="dxa"/>
          </w:tcPr>
          <w:p>
            <w:r>
              <w:rPr/>
              <w:t>67</w:t>
            </w:r>
          </w:p>
        </w:tc>
        <w:tc>
          <w:tcPr>
            <w:tcW w:w="1700" w:type="dxa"/>
          </w:tcPr>
          <w:p>
            <w:r>
              <w:rPr/>
              <w:t>$27,097.52</w:t>
            </w:r>
          </w:p>
        </w:tc>
      </w:tr>
    </w:tbl>
    <w:p>
      <w:r>
        <w:rPr>
          <w:sz w:val="18"/>
          <w:color w:val="64748B"/>
        </w:rPr>
        <w:t>Attribution note: GA4 channel grouping, Meta ad attribution, and Woo paid-order truth are three different lenses. GA4 can include non-kit purchases and source attribution can move revenue into Direct when return sessions lose campaign identifiers.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E293B"/>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e528dc0d1622c973379fd4214fb22c686b9480d.png"/><Relationship Id="rId7" Type="http://schemas.openxmlformats.org/officeDocument/2006/relationships/fontTable" Target="fontTable.xml"/><Relationship Id="rId8" Type="http://schemas.openxmlformats.org/officeDocument/2006/relationships/image" Target="media/image_generated_1.png"/><Relationship Id="rId9" Type="http://schemas.openxmlformats.org/officeDocument/2006/relationships/image" Target="media/image_generated_2.png"/><Relationship Id="rId10" Type="http://schemas.openxmlformats.org/officeDocument/2006/relationships/image" Target="media/image_generated_3.png"/><Relationship Id="rId11" Type="http://schemas.openxmlformats.org/officeDocument/2006/relationships/image" Target="media/image_generated_4.png"/><Relationship Id="rId12" Type="http://schemas.openxmlformats.org/officeDocument/2006/relationships/image" Target="media/image_generated_5.png"/><Relationship Id="rId13" Type="http://schemas.openxmlformats.org/officeDocument/2006/relationships/image" Target="media/image_generated_6.png"/><Relationship Id="rId14" Type="http://schemas.openxmlformats.org/officeDocument/2006/relationships/image" Target="media/image_generated_7.png"/><Relationship Id="rId15" Type="http://schemas.openxmlformats.org/officeDocument/2006/relationships/image" Target="media/ga4-source-mix-current-1778477364595-0.png"/><Relationship Id="rId16" Type="http://schemas.openxmlformats.org/officeDocument/2006/relationships/image" Target="media/ga4-source-mix-previous-1778477364596-1.png"/><Relationship Id="rId17" Type="http://schemas.openxmlformats.org/officeDocument/2006/relationships/image" Target="media/ga4-source-mix-month-1778477364596-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2026-01-30T00:08:21.820Z</dcterms:created>
  <dcterms:modified xsi:type="dcterms:W3CDTF">2026-01-30T00:08:21.821Z</dcterms:modified>
</cp:coreProperties>
</file>

<file path=docProps/custom.xml><?xml version="1.0" encoding="utf-8"?>
<Properties xmlns="http://schemas.openxmlformats.org/officeDocument/2006/custom-properties" xmlns:vt="http://schemas.openxmlformats.org/officeDocument/2006/docPropsVTypes"/>
</file>