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30 March 2026 – 5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results with a blended CPL of $24.60 across 20 leads. Total ad spend for the period was $492.00 with an average CTR of 5.30%. The top performer achieved a CPL of $2.18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$492.00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$2,171.46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5.44%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$5,841.32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670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6.40%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8.93%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...457220360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$12.43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...456990360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$25.96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...457910360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$2.18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103 conversions from 2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$2.18 cost, 2.44%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– 11 conversions at $4.03 cost, 6.22%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14 leads, $15.88 CPL, 5.09%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7 leads, $22.27 CPL, 6.48%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65+: </w:t>
      </w:r>
      <w:r>
        <w:rPr>
          <w:color w:val="475569"/>
          <w:sz w:val="22"/>
          <w:szCs w:val="22"/>
        </w:rPr>
        <w:t xml:space="preserve">3 leads, $6.82 CPL, 10.67%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20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