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6 April 2026 – 12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$13.17 across 38 leads. Total ad spend for the period was $500.43 with an average CTR of 5.97%. The top performer achieved a CPL of $3.03 (DEC-22-2025 - copy_4F41C52C-D861-43C4-86).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$500.43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$2,183.15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5.58%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$6,341.79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708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6.37%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6.98%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...609950360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$23.80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...515360360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$48.20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...136080360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3.95%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 conversions from 2 ad(s) – Best cost: $3.03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$3.93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copy_4F41C52C-D861-43C4-86A3-FA1431C2E2C9 - Copy – 1 conversions at $3.03 cost, 3.95%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copy_F3D1B357-B57D-4D8A-80E2-8ED18F474963 - Copy – 1 conversions at $3.28 cost, 4.41%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18 leads, $13.75 CPL, 4.89%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11 leads, $15.85 CPL, 5.75%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6 leads, $18.44 CPL, 3.41%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click-through rate of 5.97% indicates highly engaging ad creative and strong audience targeting resonance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are achieving remarkably low cost per lead between $3.03-$3.93, significantly below the campaign average of $13.17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impression volume of 14,362 demonstrates effective audience reach and campaign visibility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December 22nd creative variants are showing particularly strong performance with CTRs above 3.9%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per lead variance suggests budget is being allocated to underperforming ads - top performers cost 70% less than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CTR but relatively low conversion rate indicates potential landing page optimisation opportunities to improve lead capture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sample size of top performers (1 lead each) requires scaling successful creative elements to validate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Performance gap between top ads ($3.03 CPL) and campaign average ($13.17 CPL) suggests poor-performing ads need immediate attention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pause underperforming ads and reallocate budget to the three top-performing creative variants to reduce overall cost per lead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and replicate the creative elements from copy_4F41C52C and copy_F3D1B357 across new ad variations to scale successful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landing page conversion rate optimisation focusing on form placement, headline alignment with ad copy, and mobile experience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automated rules to pause ads exceeding $15 cost per lead and increase budgets for ads performing below $8 cost per lead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