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27 April 2026 – 3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$10.40 across 47 leads. Total ad spend for the period was $488.97 with an average CTR of 8.14%. The top performer achieved a CPL of $3.84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$488.97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$10.40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8.14%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$2,168.73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$12.05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$7,798.51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$9.25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6.61%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2.83%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...552480360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3 conversions from 1 ad(s) – Best cost: $3.84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$3.92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Jan-12 Release: </w:t>
      </w:r>
      <w:r>
        <w:rPr>
          <w:color w:val="475569"/>
          <w:sz w:val="22"/>
          <w:szCs w:val="22"/>
        </w:rPr>
        <w:t xml:space="preserve">1 conversions from 1 ad(s) – Best cost: $4.05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3 conversions at $3.84 cost, 4.68%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copy_4F41C52C-D861-43C4-86A3-FA1431C2E2C9 - Copy – 1 conversions at $3.92 cost, 2.83%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20 leads, $10.94 CPL, 6.65%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15 leads, $11.62 CPL, 8.23%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8 leads, $15.51 CPL, 5.29%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47 leads generated from $488.97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8.14%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$10.40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"DEC-15-2025 - copy_08771CC1-D4C9-4210-BE7C-B4582E8D0709 - Copy" driving 3 leads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8.1%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47</w:t>
            </w:r>
          </w:p>
        </w:tc>
        <w:tc>
          <w:tcPr>
            <w:tcW w:w="1700" w:type="dxa"/>
          </w:tcPr>
          <w:p>
            <w:r>
              <w:rPr/>
              <w:t>25</w:t>
            </w:r>
          </w:p>
        </w:tc>
        <w:tc>
          <w:tcPr>
            <w:tcW w:w="1700" w:type="dxa"/>
          </w:tcPr>
          <w:p>
            <w:r>
              <w:rPr/>
              <w:t>22</w:t>
            </w:r>
          </w:p>
        </w:tc>
        <w:tc>
          <w:tcPr>
            <w:tcW w:w="1700" w:type="dxa"/>
          </w:tcPr>
          <w:p>
            <w:r>
              <w:rPr/>
              <w:t>53.19%</w:t>
            </w:r>
          </w:p>
        </w:tc>
        <w:tc>
          <w:tcPr>
            <w:tcW w:w="1700" w:type="dxa"/>
          </w:tcPr>
          <w:p>
            <w:r>
              <w:rPr/>
              <w:t>$19.56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180</w:t>
            </w:r>
          </w:p>
        </w:tc>
        <w:tc>
          <w:tcPr>
            <w:tcW w:w="1700" w:type="dxa"/>
          </w:tcPr>
          <w:p>
            <w:r>
              <w:rPr/>
              <w:t>112</w:t>
            </w:r>
          </w:p>
        </w:tc>
        <w:tc>
          <w:tcPr>
            <w:tcW w:w="1700" w:type="dxa"/>
          </w:tcPr>
          <w:p>
            <w:r>
              <w:rPr/>
              <w:t>68</w:t>
            </w:r>
          </w:p>
        </w:tc>
        <w:tc>
          <w:tcPr>
            <w:tcW w:w="1700" w:type="dxa"/>
          </w:tcPr>
          <w:p>
            <w:r>
              <w:rPr/>
              <w:t>62.22%</w:t>
            </w:r>
          </w:p>
        </w:tc>
        <w:tc>
          <w:tcPr>
            <w:tcW w:w="1700" w:type="dxa"/>
          </w:tcPr>
          <w:p>
            <w:r>
              <w:rPr/>
              <w:t>$19.36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843</w:t>
            </w:r>
          </w:p>
        </w:tc>
        <w:tc>
          <w:tcPr>
            <w:tcW w:w="1700" w:type="dxa"/>
          </w:tcPr>
          <w:p>
            <w:r>
              <w:rPr/>
              <w:t>282</w:t>
            </w:r>
          </w:p>
        </w:tc>
        <w:tc>
          <w:tcPr>
            <w:tcW w:w="1700" w:type="dxa"/>
          </w:tcPr>
          <w:p>
            <w:r>
              <w:rPr/>
              <w:t>561</w:t>
            </w:r>
          </w:p>
        </w:tc>
        <w:tc>
          <w:tcPr>
            <w:tcW w:w="1700" w:type="dxa"/>
          </w:tcPr>
          <w:p>
            <w:r>
              <w:rPr/>
              <w:t>33.45%</w:t>
            </w:r>
          </w:p>
        </w:tc>
        <w:tc>
          <w:tcPr>
            <w:tcW w:w="1700" w:type="dxa"/>
          </w:tcPr>
          <w:p>
            <w:r>
              <w:rPr/>
              <w:t>$27.65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47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35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Deals submitted in Pipedrive during the report period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Deals that reached the first-call-completed lane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229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125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75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</w:tr>
      <w:tr>
        <w:tc>
          <w:tcPr>
            <w:tcW w:w="1700" w:type="dxa"/>
          </w:tcPr>
          <w:p>
            <w:r>
              <w:rPr/>
              <w:t>Hub to be listed</w:t>
            </w:r>
          </w:p>
        </w:tc>
        <w:tc>
          <w:tcPr>
            <w:tcW w:w="1700" w:type="dxa"/>
          </w:tcPr>
          <w:p>
            <w:r>
              <w:rPr/>
              <w:t>7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  <w:tr>
        <w:tc>
          <w:tcPr>
            <w:tcW w:w="1700" w:type="dxa"/>
          </w:tcPr>
          <w:p>
            <w:r>
              <w:rPr/>
              <w:t>Hand over confirmation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