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 June 2026 – 7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$7.64 across 63 leads. Total ad spend for the period was $481.43 with an average CTR of 5.90%. The top performer achieved a CPL of $3.31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$481.43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5.90%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$2,090.27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5.91%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$10,231.87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1090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$26.54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...351600360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$3.86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$3.31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1 conversions from 1 ad(s) – Best cost: $3.86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$3.31 cost, 2.49%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DEC-29-2025 - copy_E5D9847D-795E-4D9C-A9E6-1F25D6F4D5D1 - Copy – 1 conversions at $3.86 cost, 6.25%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25 leads, $14.34 CPL, 4.82%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20 leads, $13.66 CPL, 5.35%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13 leads, $15.15 CPL, 3.86%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click-through rate of 5.90% indicates highly engaging ad creative and targeting resonating with Box Divvy's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cost per lead at $7.64 demonstrates efficient budget allocation and competitive acquisition costs for the lead generation objective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ads show consistent quality with CTRs above 6% (Jan-17-26 and Dec-29 variants), indicating scalable creative elements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conversion rate from clicks to leads (6.4%) suggests effective landing page alignment and qualified traffic generation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cost per lead variation between top performers ($3.31-$4.03) and campaign average ($7.64) suggests underperforming ad variants dragging down overall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Limited lead volume from individual top performers (1-11 leads each) indicates potential for scaling successful creative elements across broader audience segments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impression volume (16,654) with room to optimise budget allocation towards proven high-CTR creative variants for improved overall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Opportunity to analyse and replicate the messaging and visual elements from the Jan-17-26 creative that generated 11 leads at strong efficiency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the Jan-17-26 creative variant and pause underperforming ads with CPL above $10 to improve overall campaign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A/B testing using the successful creative elements from top performers (copy_08771CC1 and Jan-17-26) to create new variants and expand reach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audience segments and demographics of top performing ads to refine targeting parameters and exclude low-converting audience segments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automated rules to reallocate budget towards ads achieving CTR above 4% and CPL below $6 to maintain performance momentum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63</w:t>
            </w:r>
          </w:p>
        </w:tc>
        <w:tc>
          <w:tcPr>
            <w:tcW w:w="1700" w:type="dxa"/>
          </w:tcPr>
          <w:p>
            <w:r>
              <w:rPr/>
              <w:t>25</w:t>
            </w:r>
          </w:p>
        </w:tc>
        <w:tc>
          <w:tcPr>
            <w:tcW w:w="1700" w:type="dxa"/>
          </w:tcPr>
          <w:p>
            <w:r>
              <w:rPr/>
              <w:t>38</w:t>
            </w:r>
          </w:p>
        </w:tc>
        <w:tc>
          <w:tcPr>
            <w:tcW w:w="1700" w:type="dxa"/>
          </w:tcPr>
          <w:p>
            <w:r>
              <w:rPr/>
              <w:t>39.68%</w:t>
            </w:r>
          </w:p>
        </w:tc>
        <w:tc>
          <w:tcPr>
            <w:tcW w:w="1700" w:type="dxa"/>
          </w:tcPr>
          <w:p>
            <w:r>
              <w:rPr/>
              <w:t>$19.26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220</w:t>
            </w:r>
          </w:p>
        </w:tc>
        <w:tc>
          <w:tcPr>
            <w:tcW w:w="1700" w:type="dxa"/>
          </w:tcPr>
          <w:p>
            <w:r>
              <w:rPr/>
              <w:t>126</w:t>
            </w:r>
          </w:p>
        </w:tc>
        <w:tc>
          <w:tcPr>
            <w:tcW w:w="1700" w:type="dxa"/>
          </w:tcPr>
          <w:p>
            <w:r>
              <w:rPr/>
              <w:t>94</w:t>
            </w:r>
          </w:p>
        </w:tc>
        <w:tc>
          <w:tcPr>
            <w:tcW w:w="1700" w:type="dxa"/>
          </w:tcPr>
          <w:p>
            <w:r>
              <w:rPr/>
              <w:t>57.27%</w:t>
            </w:r>
          </w:p>
        </w:tc>
        <w:tc>
          <w:tcPr>
            <w:tcW w:w="1700" w:type="dxa"/>
          </w:tcPr>
          <w:p>
            <w:r>
              <w:rPr/>
              <w:t>$16.59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1090</w:t>
            </w:r>
          </w:p>
        </w:tc>
        <w:tc>
          <w:tcPr>
            <w:tcW w:w="1700" w:type="dxa"/>
          </w:tcPr>
          <w:p>
            <w:r>
              <w:rPr/>
              <w:t>424</w:t>
            </w:r>
          </w:p>
        </w:tc>
        <w:tc>
          <w:tcPr>
            <w:tcW w:w="1700" w:type="dxa"/>
          </w:tcPr>
          <w:p>
            <w:r>
              <w:rPr/>
              <w:t>666</w:t>
            </w:r>
          </w:p>
        </w:tc>
        <w:tc>
          <w:tcPr>
            <w:tcW w:w="1700" w:type="dxa"/>
          </w:tcPr>
          <w:p>
            <w:r>
              <w:rPr/>
              <w:t>38.90%</w:t>
            </w:r>
          </w:p>
        </w:tc>
        <w:tc>
          <w:tcPr>
            <w:tcW w:w="1700" w:type="dxa"/>
          </w:tcPr>
          <w:p>
            <w:r>
              <w:rPr/>
              <w:t>$24.13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63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25</w:t>
            </w:r>
          </w:p>
        </w:tc>
        <w:tc>
          <w:tcPr>
            <w:tcW w:w="1700" w:type="dxa"/>
          </w:tcPr>
          <w:p>
            <w:r>
              <w:rPr/>
              <w:t>Meta complete_registration</w:t>
            </w:r>
          </w:p>
        </w:tc>
        <w:tc>
          <w:tcPr>
            <w:tcW w:w="1700" w:type="dxa"/>
          </w:tcPr>
          <w:p>
            <w:r>
              <w:rPr/>
              <w:t>Ad-attributed submitted applications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CRM deals that reached the first-call-completed lane during the period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296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130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107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22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Building Members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To be added to socials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Waiting on marketing call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360" w:after="120"/>
      </w:pPr>
      <w:r>
        <w:rPr>
          <w:b/>
          <w:sz w:val="28"/>
          <w:color w:val="1A1A2E"/>
        </w:rPr>
        <w:t>Brisbane Campaign Drill-down</w:t>
      </w:r>
    </w:p>
    <w:p>
      <w:r>
        <w:rPr>
          <w:sz w:val="20"/>
          <w:color w:val="64748B"/>
        </w:rPr>
        <w:t>Separate view of the Brisbane campaign so it can be reviewed independently from Melbourne and Bendigo.</w:t>
      </w:r>
    </w:p>
    <w:p>
      <w:pPr>
        <w:jc w:val="center"/>
        <w:spacing w:before="160" w:after="220"/>
      </w:pPr>
      <w:r>
        <w:drawing>
          <wp:inline xmlns:wp="http://schemas.openxmlformats.org/drawingml/2006/wordprocessingDrawing" distT="0" distB="0" distL="0" distR="0">
            <wp:extent cx="5486400" cy="2590800"/>
            <wp:effectExtent l="0" t="0" r="0" b="0"/>
            <wp:docPr id="15" name="boxdivvy-brisbane-drilldown-17809085668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oxdivvy-brisbane-drilldown-1780908566876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Selected Period</w:t>
            </w:r>
          </w:p>
        </w:tc>
        <w:tc>
          <w:tcPr>
            <w:tcW w:w="1700" w:type="dxa"/>
          </w:tcPr>
          <w:p>
            <w:r>
              <w:rPr/>
              <w:t>$491.05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20.00%</w:t>
            </w:r>
          </w:p>
        </w:tc>
        <w:tc>
          <w:tcPr>
            <w:tcW w:w="1700" w:type="dxa"/>
          </w:tcPr>
          <w:p>
            <w:r>
              <w:rPr/>
              <w:t>$98.21</w:t>
            </w:r>
          </w:p>
        </w:tc>
        <w:tc>
          <w:tcPr>
            <w:tcW w:w="1700" w:type="dxa"/>
          </w:tcPr>
          <w:p>
            <w:r>
              <w:rPr/>
              <w:t>3.56%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$2,110.15</w:t>
            </w:r>
          </w:p>
        </w:tc>
        <w:tc>
          <w:tcPr>
            <w:tcW w:w="1700" w:type="dxa"/>
          </w:tcPr>
          <w:p>
            <w:r>
              <w:rPr/>
              <w:t>64</w:t>
            </w:r>
          </w:p>
        </w:tc>
        <w:tc>
          <w:tcPr>
            <w:tcW w:w="1700" w:type="dxa"/>
          </w:tcPr>
          <w:p>
            <w:r>
              <w:rPr/>
              <w:t>35</w:t>
            </w:r>
          </w:p>
        </w:tc>
        <w:tc>
          <w:tcPr>
            <w:tcW w:w="1700" w:type="dxa"/>
          </w:tcPr>
          <w:p>
            <w:r>
              <w:rPr/>
              <w:t>54.69%</w:t>
            </w:r>
          </w:p>
        </w:tc>
        <w:tc>
          <w:tcPr>
            <w:tcW w:w="1700" w:type="dxa"/>
          </w:tcPr>
          <w:p>
            <w:r>
              <w:rPr/>
              <w:t>$32.97</w:t>
            </w:r>
          </w:p>
        </w:tc>
        <w:tc>
          <w:tcPr>
            <w:tcW w:w="1700" w:type="dxa"/>
          </w:tcPr>
          <w:p>
            <w:r>
              <w:rPr/>
              <w:t>4.26%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$2,529.94</w:t>
            </w:r>
          </w:p>
        </w:tc>
        <w:tc>
          <w:tcPr>
            <w:tcW w:w="1700" w:type="dxa"/>
          </w:tcPr>
          <w:p>
            <w:r>
              <w:rPr/>
              <w:t>94</w:t>
            </w:r>
          </w:p>
        </w:tc>
        <w:tc>
          <w:tcPr>
            <w:tcW w:w="1700" w:type="dxa"/>
          </w:tcPr>
          <w:p>
            <w:r>
              <w:rPr/>
              <w:t>46</w:t>
            </w:r>
          </w:p>
        </w:tc>
        <w:tc>
          <w:tcPr>
            <w:tcW w:w="1700" w:type="dxa"/>
          </w:tcPr>
          <w:p>
            <w:r>
              <w:rPr/>
              <w:t>48.94%</w:t>
            </w:r>
          </w:p>
        </w:tc>
        <w:tc>
          <w:tcPr>
            <w:tcW w:w="1700" w:type="dxa"/>
          </w:tcPr>
          <w:p>
            <w:r>
              <w:rPr/>
              <w:t>$26.91</w:t>
            </w:r>
          </w:p>
        </w:tc>
        <w:tc>
          <w:tcPr>
            <w:tcW w:w="1700" w:type="dxa"/>
          </w:tcPr>
          <w:p>
            <w:r>
              <w:rPr/>
              <w:t>4.78%</w:t>
            </w:r>
          </w:p>
        </w:tc>
      </w:tr>
    </w:tbl>
    <w:p>
      <w:pPr>
        <w:spacing w:before="260" w:after="120"/>
      </w:pPr>
      <w:r>
        <w:rPr>
          <w:b/>
          <w:sz w:val="24"/>
          <w:color w:val="1A1A2E"/>
        </w:rPr>
        <w:t>Top Brisbane Ads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- 03 - km-BD-Reel-Ad-13-Redesigned-1080p-60f-20260511-031415</w:t>
            </w:r>
          </w:p>
        </w:tc>
        <w:tc>
          <w:tcPr>
            <w:tcW w:w="1700" w:type="dxa"/>
          </w:tcPr>
          <w:p>
            <w:r>
              <w:rPr/>
              <w:t>$40.85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$20.43</w:t>
            </w:r>
          </w:p>
        </w:tc>
        <w:tc>
          <w:tcPr>
            <w:tcW w:w="1700" w:type="dxa"/>
          </w:tcPr>
          <w:p>
            <w:r>
              <w:rPr/>
              <w:t>1.70%</w:t>
            </w:r>
          </w:p>
        </w:tc>
      </w:tr>
      <w:tr>
        <w:tc>
          <w:tcPr>
            <w:tcW w:w="1700" w:type="dxa"/>
          </w:tcPr>
          <w:p>
            <w:r>
              <w:rPr/>
              <w:t>BD-BNE TOF - Jan-12-26 - copy_61BC4AF8-4B02-4882-A36C-5089A05D079E</w:t>
            </w:r>
          </w:p>
        </w:tc>
        <w:tc>
          <w:tcPr>
            <w:tcW w:w="1700" w:type="dxa"/>
          </w:tcPr>
          <w:p>
            <w:r>
              <w:rPr/>
              <w:t>$20.74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$20.74</w:t>
            </w:r>
          </w:p>
        </w:tc>
        <w:tc>
          <w:tcPr>
            <w:tcW w:w="1700" w:type="dxa"/>
          </w:tcPr>
          <w:p>
            <w:r>
              <w:rPr/>
              <w:t>2.44%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DEC-22-2025 - copy_9B8E5707-E50A-4DAD-94BB-138C32A34A9B</w:t>
            </w:r>
          </w:p>
        </w:tc>
        <w:tc>
          <w:tcPr>
            <w:tcW w:w="1700" w:type="dxa"/>
          </w:tcPr>
          <w:p>
            <w:r>
              <w:rPr/>
              <w:t>$372.34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$186.17</w:t>
            </w:r>
          </w:p>
        </w:tc>
        <w:tc>
          <w:tcPr>
            <w:tcW w:w="1700" w:type="dxa"/>
          </w:tcPr>
          <w:p>
            <w:r>
              <w:rPr/>
              <w:t>4.10%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boxdivvy-brisbane-drilldown-178090856687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