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 June 2026 – 7 June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strong performance with a blended CPL of $7.64 across 63 leads. Total ad spend for the period was $481.45 with an average CTR of 5.90%. The top performer achieved a CPL of $3.31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$481.45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63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$7.64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5.90%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$2,090.29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220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$9.50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5.91%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$10,231.89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1090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$9.39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6.53%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$26.54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...351600360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$3.31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$3.86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4.35%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5 conversions from 2 ad(s) – Best cost: $3.31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DEC-29 Release: </w:t>
      </w:r>
      <w:r>
        <w:rPr>
          <w:color w:val="475569"/>
          <w:sz w:val="22"/>
          <w:szCs w:val="22"/>
        </w:rPr>
        <w:t xml:space="preserve">1 conversions from 1 ad(s) – Best cost: $3.86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2 conversions at $3.31 cost, 2.49%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DEC-29-2025 - copy_E5D9847D-795E-4D9C-A9E6-1F25D6F4D5D1 - Copy – 1 conversions at $3.86 cost, 6.25%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25 leads, $14.34 CPL, 4.82%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20 leads, $13.66 CPL, 5.35%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13 leads, $15.15 CPL, 3.86%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5.90% indicates compelling ad creative and targeting is resonating well with the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lead of $7.64 is efficient for lead generation, with top performers achieving even lower costs of $3.31-$4.03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January 17 creative is delivering strong volume with 11 leads at competitive $4.03 CPL whilst maintaining high 6.22% CTR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 engagement rate with 983 clicks from 16,655 impressions shows effective audience targeting and ad relevance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cost variance between top performers ($3.31-$4.03) and campaign average ($7.64) suggests underperforming ads are inflating overall CPL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December 29 creative has excellent 6.25% CTR but only generated 1 lead, indicating potential budget allocation issues or limited reach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Campaign appears to have mixed performance across different ad variations, suggesting room to optimise creative distribution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Strong CTR but relatively low conversion rate suggests potential landing page optimisation opportunities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Immediately scale budget towards January 17 creative given its strong volume and efficiency at $4.03 CPL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and pause underperforming ad variations that are driving CPL above $7.64 to improve overall campaign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budget allocation to December 29 creative to test if the high 6.25% CTR can be scaled whilst maintaining performance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Conduct landing page analysis to identify conversion bottlenecks and improve lead conversion rate from the strong click traffic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Lead → Completed Application Dropoff</w:t>
      </w:r>
    </w:p>
    <w:p>
      <w:r>
        <w:rPr>
          <w:sz w:val="20"/>
          <w:color w:val="64748B"/>
        </w:rPr>
        <w:t>Meta lead aliases are not summed. This compares the canonical Meta Lead event against completed applications from complete_registration.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Meta 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Dropoff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Cost / Completed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63</w:t>
            </w:r>
          </w:p>
        </w:tc>
        <w:tc>
          <w:tcPr>
            <w:tcW w:w="1700" w:type="dxa"/>
          </w:tcPr>
          <w:p>
            <w:r>
              <w:rPr/>
              <w:t>25</w:t>
            </w:r>
          </w:p>
        </w:tc>
        <w:tc>
          <w:tcPr>
            <w:tcW w:w="1700" w:type="dxa"/>
          </w:tcPr>
          <w:p>
            <w:r>
              <w:rPr/>
              <w:t>38</w:t>
            </w:r>
          </w:p>
        </w:tc>
        <w:tc>
          <w:tcPr>
            <w:tcW w:w="1700" w:type="dxa"/>
          </w:tcPr>
          <w:p>
            <w:r>
              <w:rPr/>
              <w:t>39.68%</w:t>
            </w:r>
          </w:p>
        </w:tc>
        <w:tc>
          <w:tcPr>
            <w:tcW w:w="1700" w:type="dxa"/>
          </w:tcPr>
          <w:p>
            <w:r>
              <w:rPr/>
              <w:t>$19.26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220</w:t>
            </w:r>
          </w:p>
        </w:tc>
        <w:tc>
          <w:tcPr>
            <w:tcW w:w="1700" w:type="dxa"/>
          </w:tcPr>
          <w:p>
            <w:r>
              <w:rPr/>
              <w:t>126</w:t>
            </w:r>
          </w:p>
        </w:tc>
        <w:tc>
          <w:tcPr>
            <w:tcW w:w="1700" w:type="dxa"/>
          </w:tcPr>
          <w:p>
            <w:r>
              <w:rPr/>
              <w:t>94</w:t>
            </w:r>
          </w:p>
        </w:tc>
        <w:tc>
          <w:tcPr>
            <w:tcW w:w="1700" w:type="dxa"/>
          </w:tcPr>
          <w:p>
            <w:r>
              <w:rPr/>
              <w:t>57.27%</w:t>
            </w:r>
          </w:p>
        </w:tc>
        <w:tc>
          <w:tcPr>
            <w:tcW w:w="1700" w:type="dxa"/>
          </w:tcPr>
          <w:p>
            <w:r>
              <w:rPr/>
              <w:t>$16.59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1090</w:t>
            </w:r>
          </w:p>
        </w:tc>
        <w:tc>
          <w:tcPr>
            <w:tcW w:w="1700" w:type="dxa"/>
          </w:tcPr>
          <w:p>
            <w:r>
              <w:rPr/>
              <w:t>424</w:t>
            </w:r>
          </w:p>
        </w:tc>
        <w:tc>
          <w:tcPr>
            <w:tcW w:w="1700" w:type="dxa"/>
          </w:tcPr>
          <w:p>
            <w:r>
              <w:rPr/>
              <w:t>666</w:t>
            </w:r>
          </w:p>
        </w:tc>
        <w:tc>
          <w:tcPr>
            <w:tcW w:w="1700" w:type="dxa"/>
          </w:tcPr>
          <w:p>
            <w:r>
              <w:rPr/>
              <w:t>38.90%</w:t>
            </w:r>
          </w:p>
        </w:tc>
        <w:tc>
          <w:tcPr>
            <w:tcW w:w="1700" w:type="dxa"/>
          </w:tcPr>
          <w:p>
            <w:r>
              <w:rPr/>
              <w:t>$24.13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Full Funnel — Meta → Pipedrive Swim Lanes</w:t>
      </w:r>
    </w:p>
    <w:p>
      <w:r>
        <w:rPr>
          <w:sz w:val="20"/>
          <w:color w:val="64748B"/>
        </w:rPr>
        <w:t>Direct Pipedrive pull from BoxDivvy Hubster Recruitment, Hub in Progress, and Hub Handovers. This shows application-stage CRM reality beside Meta attribution.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Funnel Stage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w="1700" w:type="dxa"/>
          </w:tcPr>
          <w:p>
            <w:r>
              <w:rPr/>
              <w:t>Meta Leads</w:t>
            </w:r>
          </w:p>
        </w:tc>
        <w:tc>
          <w:tcPr>
            <w:tcW w:w="1700" w:type="dxa"/>
          </w:tcPr>
          <w:p>
            <w:r>
              <w:rPr/>
              <w:t>63</w:t>
            </w:r>
          </w:p>
        </w:tc>
        <w:tc>
          <w:tcPr>
            <w:tcW w:w="1700" w:type="dxa"/>
          </w:tcPr>
          <w:p>
            <w:r>
              <w:rPr/>
              <w:t>Meta canonical lead</w:t>
            </w:r>
          </w:p>
        </w:tc>
        <w:tc>
          <w:tcPr>
            <w:tcW w:w="1700" w:type="dxa"/>
          </w:tcPr>
          <w:p>
            <w:r>
              <w:rPr/>
              <w:t>Top-funnel ad-attributed leads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25</w:t>
            </w:r>
          </w:p>
        </w:tc>
        <w:tc>
          <w:tcPr>
            <w:tcW w:w="1700" w:type="dxa"/>
          </w:tcPr>
          <w:p>
            <w:r>
              <w:rPr/>
              <w:t>Meta complete_registration</w:t>
            </w:r>
          </w:p>
        </w:tc>
        <w:tc>
          <w:tcPr>
            <w:tcW w:w="1700" w:type="dxa"/>
          </w:tcPr>
          <w:p>
            <w:r>
              <w:rPr/>
              <w:t>Ad-attributed submitted applications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11</w:t>
            </w:r>
          </w:p>
        </w:tc>
        <w:tc>
          <w:tcPr>
            <w:tcW w:w="1700" w:type="dxa"/>
          </w:tcPr>
          <w:p>
            <w:r>
              <w:rPr/>
              <w:t>Pipedrive swim lane</w:t>
            </w:r>
          </w:p>
        </w:tc>
        <w:tc>
          <w:tcPr>
            <w:tcW w:w="1700" w:type="dxa"/>
          </w:tcPr>
          <w:p>
            <w:r>
              <w:rPr/>
              <w:t>CRM deals that reached the first-call-completed lane during the period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Current open CRM funnel: 299 deals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Swim Lane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Deals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129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109</w:t>
            </w:r>
          </w:p>
        </w:tc>
      </w:tr>
      <w:tr>
        <w:tc>
          <w:tcPr>
            <w:tcW w:w="1700" w:type="dxa"/>
          </w:tcPr>
          <w:p>
            <w:r>
              <w:rPr/>
              <w:t>On Hold</w:t>
            </w:r>
          </w:p>
        </w:tc>
        <w:tc>
          <w:tcPr>
            <w:tcW w:w="1700" w:type="dxa"/>
          </w:tcPr>
          <w:p>
            <w:r>
              <w:rPr/>
              <w:t>22</w:t>
            </w:r>
          </w:p>
        </w:tc>
      </w:tr>
      <w:tr>
        <w:tc>
          <w:tcPr>
            <w:tcW w:w="1700" w:type="dxa"/>
          </w:tcPr>
          <w:p>
            <w:r>
              <w:rPr/>
              <w:t>Waiting for delivery day</w:t>
            </w:r>
          </w:p>
        </w:tc>
        <w:tc>
          <w:tcPr>
            <w:tcW w:w="1700" w:type="dxa"/>
          </w:tcPr>
          <w:p>
            <w:r>
              <w:rPr/>
              <w:t>14</w:t>
            </w:r>
          </w:p>
        </w:tc>
      </w:tr>
      <w:tr>
        <w:tc>
          <w:tcPr>
            <w:tcW w:w="1700" w:type="dxa"/>
          </w:tcPr>
          <w:p>
            <w:r>
              <w:rPr/>
              <w:t>Hub pack complete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</w:tr>
      <w:tr>
        <w:tc>
          <w:tcPr>
            <w:tcW w:w="1700" w:type="dxa"/>
          </w:tcPr>
          <w:p>
            <w:r>
              <w:rPr/>
              <w:t>Building Members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</w:tr>
      <w:tr>
        <w:tc>
          <w:tcPr>
            <w:tcW w:w="1700" w:type="dxa"/>
          </w:tcPr>
          <w:p>
            <w:r>
              <w:rPr/>
              <w:t>To be added to socials</w:t>
            </w:r>
          </w:p>
        </w:tc>
        <w:tc>
          <w:tcPr>
            <w:tcW w:w="1700" w:type="dxa"/>
          </w:tcPr>
          <w:p>
            <w:r>
              <w:rPr/>
              <w:t>4</w:t>
            </w:r>
          </w:p>
        </w:tc>
      </w:tr>
      <w:tr>
        <w:tc>
          <w:tcPr>
            <w:tcW w:w="1700" w:type="dxa"/>
          </w:tcPr>
          <w:p>
            <w:r>
              <w:rPr/>
              <w:t>Waiting on marketing call</w:t>
            </w:r>
          </w:p>
        </w:tc>
        <w:tc>
          <w:tcPr>
            <w:tcW w:w="1700" w:type="dxa"/>
          </w:tcPr>
          <w:p>
            <w:r>
              <w:rPr/>
              <w:t>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  <w:p>
      <w:pPr>
        <w:spacing w:before="360" w:after="120"/>
      </w:pPr>
      <w:r>
        <w:rPr>
          <w:b/>
          <w:sz w:val="28"/>
          <w:color w:val="1A1A2E"/>
        </w:rPr>
        <w:t>Brisbane Campaign Drill-down</w:t>
      </w:r>
    </w:p>
    <w:p>
      <w:r>
        <w:rPr>
          <w:sz w:val="20"/>
          <w:color w:val="64748B"/>
        </w:rPr>
        <w:t>Separate view of the Brisbane campaign so it can be reviewed independently from Melbourne and Bendigo.</w:t>
      </w:r>
    </w:p>
    <w:p>
      <w:pPr>
        <w:jc w:val="center"/>
        <w:spacing w:before="160" w:after="220"/>
      </w:pPr>
      <w:r>
        <w:drawing>
          <wp:inline xmlns:wp="http://schemas.openxmlformats.org/drawingml/2006/wordprocessingDrawing" distT="0" distB="0" distL="0" distR="0">
            <wp:extent cx="5486400" cy="2590800"/>
            <wp:effectExtent l="0" t="0" r="0" b="0"/>
            <wp:docPr id="15" name="boxdivvy-brisbane-drilldown-17809762195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oxdivvy-brisbane-drilldown-1780976219562.pn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Spend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CPL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CTR</w:t>
            </w:r>
          </w:p>
        </w:tc>
      </w:tr>
      <w:tr>
        <w:tc>
          <w:tcPr>
            <w:tcW w:w="1700" w:type="dxa"/>
          </w:tcPr>
          <w:p>
            <w:r>
              <w:rPr/>
              <w:t>Selected Period</w:t>
            </w:r>
          </w:p>
        </w:tc>
        <w:tc>
          <w:tcPr>
            <w:tcW w:w="1700" w:type="dxa"/>
          </w:tcPr>
          <w:p>
            <w:r>
              <w:rPr/>
              <w:t>$491.05</w:t>
            </w:r>
          </w:p>
        </w:tc>
        <w:tc>
          <w:tcPr>
            <w:tcW w:w="1700" w:type="dxa"/>
          </w:tcPr>
          <w:p>
            <w:r>
              <w:rPr/>
              <w:t>5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20.00%</w:t>
            </w:r>
          </w:p>
        </w:tc>
        <w:tc>
          <w:tcPr>
            <w:tcW w:w="1700" w:type="dxa"/>
          </w:tcPr>
          <w:p>
            <w:r>
              <w:rPr/>
              <w:t>$98.21</w:t>
            </w:r>
          </w:p>
        </w:tc>
        <w:tc>
          <w:tcPr>
            <w:tcW w:w="1700" w:type="dxa"/>
          </w:tcPr>
          <w:p>
            <w:r>
              <w:rPr/>
              <w:t>3.56%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$2,110.15</w:t>
            </w:r>
          </w:p>
        </w:tc>
        <w:tc>
          <w:tcPr>
            <w:tcW w:w="1700" w:type="dxa"/>
          </w:tcPr>
          <w:p>
            <w:r>
              <w:rPr/>
              <w:t>64</w:t>
            </w:r>
          </w:p>
        </w:tc>
        <w:tc>
          <w:tcPr>
            <w:tcW w:w="1700" w:type="dxa"/>
          </w:tcPr>
          <w:p>
            <w:r>
              <w:rPr/>
              <w:t>35</w:t>
            </w:r>
          </w:p>
        </w:tc>
        <w:tc>
          <w:tcPr>
            <w:tcW w:w="1700" w:type="dxa"/>
          </w:tcPr>
          <w:p>
            <w:r>
              <w:rPr/>
              <w:t>54.69%</w:t>
            </w:r>
          </w:p>
        </w:tc>
        <w:tc>
          <w:tcPr>
            <w:tcW w:w="1700" w:type="dxa"/>
          </w:tcPr>
          <w:p>
            <w:r>
              <w:rPr/>
              <w:t>$32.97</w:t>
            </w:r>
          </w:p>
        </w:tc>
        <w:tc>
          <w:tcPr>
            <w:tcW w:w="1700" w:type="dxa"/>
          </w:tcPr>
          <w:p>
            <w:r>
              <w:rPr/>
              <w:t>4.26%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$2,529.94</w:t>
            </w:r>
          </w:p>
        </w:tc>
        <w:tc>
          <w:tcPr>
            <w:tcW w:w="1700" w:type="dxa"/>
          </w:tcPr>
          <w:p>
            <w:r>
              <w:rPr/>
              <w:t>94</w:t>
            </w:r>
          </w:p>
        </w:tc>
        <w:tc>
          <w:tcPr>
            <w:tcW w:w="1700" w:type="dxa"/>
          </w:tcPr>
          <w:p>
            <w:r>
              <w:rPr/>
              <w:t>46</w:t>
            </w:r>
          </w:p>
        </w:tc>
        <w:tc>
          <w:tcPr>
            <w:tcW w:w="1700" w:type="dxa"/>
          </w:tcPr>
          <w:p>
            <w:r>
              <w:rPr/>
              <w:t>48.94%</w:t>
            </w:r>
          </w:p>
        </w:tc>
        <w:tc>
          <w:tcPr>
            <w:tcW w:w="1700" w:type="dxa"/>
          </w:tcPr>
          <w:p>
            <w:r>
              <w:rPr/>
              <w:t>$26.91</w:t>
            </w:r>
          </w:p>
        </w:tc>
        <w:tc>
          <w:tcPr>
            <w:tcW w:w="1700" w:type="dxa"/>
          </w:tcPr>
          <w:p>
            <w:r>
              <w:rPr/>
              <w:t>4.78%</w:t>
            </w:r>
          </w:p>
        </w:tc>
      </w:tr>
    </w:tbl>
    <w:p>
      <w:pPr>
        <w:spacing w:before="260" w:after="120"/>
      </w:pPr>
      <w:r>
        <w:rPr>
          <w:b/>
          <w:sz w:val="24"/>
          <w:color w:val="1A1A2E"/>
        </w:rPr>
        <w:t>Top Brisbane Ads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Spend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CPL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CTR</w:t>
            </w:r>
          </w:p>
        </w:tc>
      </w:tr>
      <w:tr>
        <w:tc>
          <w:tcPr>
            <w:tcW w:w="1700" w:type="dxa"/>
          </w:tcPr>
          <w:p>
            <w:r>
              <w:rPr/>
              <w:t>BD-BNE TOF - 20260512-ROOT - 03 - km-BD-Reel-Ad-13-Redesigned-1080p-60f-20260511-031415</w:t>
            </w:r>
          </w:p>
        </w:tc>
        <w:tc>
          <w:tcPr>
            <w:tcW w:w="1700" w:type="dxa"/>
          </w:tcPr>
          <w:p>
            <w:r>
              <w:rPr/>
              <w:t>$40.85</w:t>
            </w:r>
          </w:p>
        </w:tc>
        <w:tc>
          <w:tcPr>
            <w:tcW w:w="1700" w:type="dxa"/>
          </w:tcPr>
          <w:p>
            <w:r>
              <w:rPr/>
              <w:t>2</w:t>
            </w:r>
          </w:p>
        </w:tc>
        <w:tc>
          <w:tcPr>
            <w:tcW w:w="1700" w:type="dxa"/>
          </w:tcPr>
          <w:p>
            <w:r>
              <w:rPr/>
              <w:t>$20.43</w:t>
            </w:r>
          </w:p>
        </w:tc>
        <w:tc>
          <w:tcPr>
            <w:tcW w:w="1700" w:type="dxa"/>
          </w:tcPr>
          <w:p>
            <w:r>
              <w:rPr/>
              <w:t>1.70%</w:t>
            </w:r>
          </w:p>
        </w:tc>
      </w:tr>
      <w:tr>
        <w:tc>
          <w:tcPr>
            <w:tcW w:w="1700" w:type="dxa"/>
          </w:tcPr>
          <w:p>
            <w:r>
              <w:rPr/>
              <w:t>BD-BNE TOF - Jan-12-26 - copy_61BC4AF8-4B02-4882-A36C-5089A05D079E</w:t>
            </w:r>
          </w:p>
        </w:tc>
        <w:tc>
          <w:tcPr>
            <w:tcW w:w="1700" w:type="dxa"/>
          </w:tcPr>
          <w:p>
            <w:r>
              <w:rPr/>
              <w:t>$20.74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$20.74</w:t>
            </w:r>
          </w:p>
        </w:tc>
        <w:tc>
          <w:tcPr>
            <w:tcW w:w="1700" w:type="dxa"/>
          </w:tcPr>
          <w:p>
            <w:r>
              <w:rPr/>
              <w:t>2.44%</w:t>
            </w:r>
          </w:p>
        </w:tc>
      </w:tr>
      <w:tr>
        <w:tc>
          <w:tcPr>
            <w:tcW w:w="1700" w:type="dxa"/>
          </w:tcPr>
          <w:p>
            <w:r>
              <w:rPr/>
              <w:t>BD-BNE TOF - DEC-22-2025 - copy_9B8E5707-E50A-4DAD-94BB-138C32A34A9B</w:t>
            </w:r>
          </w:p>
        </w:tc>
        <w:tc>
          <w:tcPr>
            <w:tcW w:w="1700" w:type="dxa"/>
          </w:tcPr>
          <w:p>
            <w:r>
              <w:rPr/>
              <w:t>$372.34</w:t>
            </w:r>
          </w:p>
        </w:tc>
        <w:tc>
          <w:tcPr>
            <w:tcW w:w="1700" w:type="dxa"/>
          </w:tcPr>
          <w:p>
            <w:r>
              <w:rPr/>
              <w:t>2</w:t>
            </w:r>
          </w:p>
        </w:tc>
        <w:tc>
          <w:tcPr>
            <w:tcW w:w="1700" w:type="dxa"/>
          </w:tcPr>
          <w:p>
            <w:r>
              <w:rPr/>
              <w:t>$186.17</w:t>
            </w:r>
          </w:p>
        </w:tc>
        <w:tc>
          <w:tcPr>
            <w:tcW w:w="1700" w:type="dxa"/>
          </w:tcPr>
          <w:p>
            <w:r>
              <w:rPr/>
              <w:t>4.10%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boxdivvy-brisbane-drilldown-178097621956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