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Box Divvy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Hubster Lead Gen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8 June 2026 – 14 June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The Box Divvy campaign is delivering strong performance with a blended CPL of $7.23 across 68 leads. Total ad spend for the period was $491.88 with an average CTR of 6.46%. The top performer achieved a CPL of $3.34 (DEC-15-2025 - copy_08771CC1-D4C9-4210-BE). High CTR indicates strong creative-audience fit.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$491.88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68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$7.23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6.46%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$2,099.96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253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$8.30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6.08%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$10,723.84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1158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$9.26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6.53%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Performers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May-28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$26.54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2.67%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...351600360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CPL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$3.34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2.43%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...917610360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$4.03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6.22%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...743430360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$4.07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6.18%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...985710360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4.25%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...917220360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$4.17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5.56%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...917210360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DEC-15 Release: </w:t>
      </w:r>
      <w:r>
        <w:rPr>
          <w:color w:val="475569"/>
          <w:sz w:val="22"/>
          <w:szCs w:val="22"/>
        </w:rPr>
        <w:t xml:space="preserve">5 conversions from 2 ad(s) – Best cost: $3.34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Jan-17 Release: </w:t>
      </w:r>
      <w:r>
        <w:rPr>
          <w:color w:val="475569"/>
          <w:sz w:val="22"/>
          <w:szCs w:val="22"/>
        </w:rPr>
        <w:t xml:space="preserve">11 conversions from 1 ad(s) – Best cost: $4.03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Dec-15 Release: </w:t>
      </w:r>
      <w:r>
        <w:rPr>
          <w:color w:val="475569"/>
          <w:sz w:val="22"/>
          <w:szCs w:val="22"/>
        </w:rPr>
        <w:t xml:space="preserve">12 conversions from 1 ad(s) – Best cost: $4.07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DEC-29 Release: </w:t>
      </w:r>
      <w:r>
        <w:rPr>
          <w:color w:val="475569"/>
          <w:sz w:val="22"/>
          <w:szCs w:val="22"/>
        </w:rPr>
        <w:t xml:space="preserve">1 conversions from 1 ad(s) – Best cost: $4.17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DEC-15-2025 - copy_08771CC1-D4C9-4210-BE7C-B4582E8D0709 - Copy – 2 conversions at $3.34 cost, 2.43%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Jan-17-26 - Copy – 11 conversions at $4.03 cost, 6.22%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35-44: </w:t>
      </w:r>
      <w:r>
        <w:rPr>
          <w:color w:val="475569"/>
          <w:sz w:val="22"/>
          <w:szCs w:val="22"/>
        </w:rPr>
        <w:t xml:space="preserve">29 leads, $11.91 CPL, 4.73%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45-54: </w:t>
      </w:r>
      <w:r>
        <w:rPr>
          <w:color w:val="475569"/>
          <w:sz w:val="22"/>
          <w:szCs w:val="22"/>
        </w:rPr>
        <w:t xml:space="preserve">21 leads, $13.45 CPL, 6.23%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25-34: </w:t>
      </w:r>
      <w:r>
        <w:rPr>
          <w:color w:val="475569"/>
          <w:sz w:val="22"/>
          <w:szCs w:val="22"/>
        </w:rPr>
        <w:t xml:space="preserve">13 leads, $15.08 CPL, 3.60%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Strong overall CTR of 6.46% indicates compelling ad creative and targeting is resonating well with the audience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Cost per lead of $7.23 is competitive for lead generation campaigns, showing efficient budget allocation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Top performing ads (Jan-17-26 and Dec-15-Dec-22-25) are generating leads at excellent rates of $4.03-$4.07 with CTRs above 6%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Campaign is generating consistent volume with 68 leads across 7 days, demonstrating scalable performance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Significant cost per lead variance between top performer ($3.34) and average ($7.23) suggests underperforming ads are dragging down efficiency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Low lead volume on best performing ad (DEC-15-2025) with only 2 leads indicates potential budget reallocation needed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Conversion rate optimisation opportunity exists as high CTR (6.46%) should potentially yield more than 68 leads from 1,152 clicks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Creative testing gaps evident with inconsistent performance across ad variations - need more systematic A/B testing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Immediately increase budget allocation to Jan-17-26 and Dec-15-Dec-22-25 ads whilst pausing or reducing spend on underperforming variations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Analyse and replicate the copy elements from the $3.34 CPL ad (DEC-15-2025) into new creative variations for broader testing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Implement landing page optimisation review to improve lead conversion rate from the current click-to-lead performance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Set up automated rules to pause ads when CPL exceeds $8.00 to prevent budget waste on poor performers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68580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p>
      <w:pPr>
        <w:spacing w:before="360" w:after="120"/>
      </w:pPr>
      <w:r>
        <w:rPr>
          <w:b/>
          <w:sz w:val="28"/>
          <w:color w:val="1A1A2E"/>
        </w:rPr>
        <w:t>Lead → Completed Application Dropoff</w:t>
      </w:r>
    </w:p>
    <w:p>
      <w:r>
        <w:rPr>
          <w:sz w:val="20"/>
          <w:color w:val="64748B"/>
        </w:rPr>
        <w:t>Meta lead aliases are not summed. This compares the canonical Meta Lead event against completed applications from complete_registration.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Period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Meta Leads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Completed Applications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Dropoff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Completion Rate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Cost / Completed</w:t>
            </w:r>
          </w:p>
        </w:tc>
      </w:tr>
      <w:tr>
        <w:tc>
          <w:tcPr>
            <w:tcW w:w="1700" w:type="dxa"/>
          </w:tcPr>
          <w:p>
            <w:r>
              <w:rPr/>
              <w:t>This Week</w:t>
            </w:r>
          </w:p>
        </w:tc>
        <w:tc>
          <w:tcPr>
            <w:tcW w:w="1700" w:type="dxa"/>
          </w:tcPr>
          <w:p>
            <w:r>
              <w:rPr/>
              <w:t>68</w:t>
            </w:r>
          </w:p>
        </w:tc>
        <w:tc>
          <w:tcPr>
            <w:tcW w:w="1700" w:type="dxa"/>
          </w:tcPr>
          <w:p>
            <w:r>
              <w:rPr/>
              <w:t>12</w:t>
            </w:r>
          </w:p>
        </w:tc>
        <w:tc>
          <w:tcPr>
            <w:tcW w:w="1700" w:type="dxa"/>
          </w:tcPr>
          <w:p>
            <w:r>
              <w:rPr/>
              <w:t>56</w:t>
            </w:r>
          </w:p>
        </w:tc>
        <w:tc>
          <w:tcPr>
            <w:tcW w:w="1700" w:type="dxa"/>
          </w:tcPr>
          <w:p>
            <w:r>
              <w:rPr/>
              <w:t>17.65%</w:t>
            </w:r>
          </w:p>
        </w:tc>
        <w:tc>
          <w:tcPr>
            <w:tcW w:w="1700" w:type="dxa"/>
          </w:tcPr>
          <w:p>
            <w:r>
              <w:rPr/>
              <w:t>$40.99</w:t>
            </w:r>
          </w:p>
        </w:tc>
      </w:tr>
      <w:tr>
        <w:tc>
          <w:tcPr>
            <w:tcW w:w="1700" w:type="dxa"/>
          </w:tcPr>
          <w:p>
            <w:r>
              <w:rPr/>
              <w:t>Last 30 Days</w:t>
            </w:r>
          </w:p>
        </w:tc>
        <w:tc>
          <w:tcPr>
            <w:tcW w:w="1700" w:type="dxa"/>
          </w:tcPr>
          <w:p>
            <w:r>
              <w:rPr/>
              <w:t>253</w:t>
            </w:r>
          </w:p>
        </w:tc>
        <w:tc>
          <w:tcPr>
            <w:tcW w:w="1700" w:type="dxa"/>
          </w:tcPr>
          <w:p>
            <w:r>
              <w:rPr/>
              <w:t>115</w:t>
            </w:r>
          </w:p>
        </w:tc>
        <w:tc>
          <w:tcPr>
            <w:tcW w:w="1700" w:type="dxa"/>
          </w:tcPr>
          <w:p>
            <w:r>
              <w:rPr/>
              <w:t>138</w:t>
            </w:r>
          </w:p>
        </w:tc>
        <w:tc>
          <w:tcPr>
            <w:tcW w:w="1700" w:type="dxa"/>
          </w:tcPr>
          <w:p>
            <w:r>
              <w:rPr/>
              <w:t>45.45%</w:t>
            </w:r>
          </w:p>
        </w:tc>
        <w:tc>
          <w:tcPr>
            <w:tcW w:w="1700" w:type="dxa"/>
          </w:tcPr>
          <w:p>
            <w:r>
              <w:rPr/>
              <w:t>$18.26</w:t>
            </w:r>
          </w:p>
        </w:tc>
      </w:tr>
      <w:tr>
        <w:tc>
          <w:tcPr>
            <w:tcW w:w="1700" w:type="dxa"/>
          </w:tcPr>
          <w:p>
            <w:r>
              <w:rPr/>
              <w:t>Campaign to Date</w:t>
            </w:r>
          </w:p>
        </w:tc>
        <w:tc>
          <w:tcPr>
            <w:tcW w:w="1700" w:type="dxa"/>
          </w:tcPr>
          <w:p>
            <w:r>
              <w:rPr/>
              <w:t>1158</w:t>
            </w:r>
          </w:p>
        </w:tc>
        <w:tc>
          <w:tcPr>
            <w:tcW w:w="1700" w:type="dxa"/>
          </w:tcPr>
          <w:p>
            <w:r>
              <w:rPr/>
              <w:t>436</w:t>
            </w:r>
          </w:p>
        </w:tc>
        <w:tc>
          <w:tcPr>
            <w:tcW w:w="1700" w:type="dxa"/>
          </w:tcPr>
          <w:p>
            <w:r>
              <w:rPr/>
              <w:t>722</w:t>
            </w:r>
          </w:p>
        </w:tc>
        <w:tc>
          <w:tcPr>
            <w:tcW w:w="1700" w:type="dxa"/>
          </w:tcPr>
          <w:p>
            <w:r>
              <w:rPr/>
              <w:t>37.65%</w:t>
            </w:r>
          </w:p>
        </w:tc>
        <w:tc>
          <w:tcPr>
            <w:tcW w:w="1700" w:type="dxa"/>
          </w:tcPr>
          <w:p>
            <w:r>
              <w:rPr/>
              <w:t>$24.60</w:t>
            </w:r>
          </w:p>
        </w:tc>
      </w:tr>
    </w:tbl>
    <w:p>
      <w:pPr>
        <w:spacing w:before="360" w:after="120"/>
      </w:pPr>
      <w:r>
        <w:rPr>
          <w:b/>
          <w:sz w:val="28"/>
          <w:color w:val="1A1A2E"/>
        </w:rPr>
        <w:t>Full Funnel — Meta → Pipedrive Swim Lanes</w:t>
      </w:r>
    </w:p>
    <w:p>
      <w:r>
        <w:rPr>
          <w:sz w:val="20"/>
          <w:color w:val="64748B"/>
        </w:rPr>
        <w:t>Direct Pipedrive pull from BoxDivvy Hubster Recruitment, Hub in Progress, and Hub Handovers. This shows application-stage CRM reality beside Meta attribution.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Funnel Stage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Count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w="1700" w:type="dxa"/>
          </w:tcPr>
          <w:p>
            <w:r>
              <w:rPr/>
              <w:t>Meta Leads</w:t>
            </w:r>
          </w:p>
        </w:tc>
        <w:tc>
          <w:tcPr>
            <w:tcW w:w="1700" w:type="dxa"/>
          </w:tcPr>
          <w:p>
            <w:r>
              <w:rPr/>
              <w:t>68</w:t>
            </w:r>
          </w:p>
        </w:tc>
        <w:tc>
          <w:tcPr>
            <w:tcW w:w="1700" w:type="dxa"/>
          </w:tcPr>
          <w:p>
            <w:r>
              <w:rPr/>
              <w:t>Meta canonical lead</w:t>
            </w:r>
          </w:p>
        </w:tc>
        <w:tc>
          <w:tcPr>
            <w:tcW w:w="1700" w:type="dxa"/>
          </w:tcPr>
          <w:p>
            <w:r>
              <w:rPr/>
              <w:t>Top-funnel ad-attributed leads</w:t>
            </w:r>
          </w:p>
        </w:tc>
      </w:tr>
      <w:tr>
        <w:tc>
          <w:tcPr>
            <w:tcW w:w="1700" w:type="dxa"/>
          </w:tcPr>
          <w:p>
            <w:r>
              <w:rPr/>
              <w:t>Application Submitted</w:t>
            </w:r>
          </w:p>
        </w:tc>
        <w:tc>
          <w:tcPr>
            <w:tcW w:w="1700" w:type="dxa"/>
          </w:tcPr>
          <w:p>
            <w:r>
              <w:rPr/>
              <w:t>12</w:t>
            </w:r>
          </w:p>
        </w:tc>
        <w:tc>
          <w:tcPr>
            <w:tcW w:w="1700" w:type="dxa"/>
          </w:tcPr>
          <w:p>
            <w:r>
              <w:rPr/>
              <w:t>Meta complete_registration</w:t>
            </w:r>
          </w:p>
        </w:tc>
        <w:tc>
          <w:tcPr>
            <w:tcW w:w="1700" w:type="dxa"/>
          </w:tcPr>
          <w:p>
            <w:r>
              <w:rPr/>
              <w:t>Ad-attributed submitted applications</w:t>
            </w:r>
          </w:p>
        </w:tc>
      </w:tr>
      <w:tr>
        <w:tc>
          <w:tcPr>
            <w:tcW w:w="1700" w:type="dxa"/>
          </w:tcPr>
          <w:p>
            <w:r>
              <w:rPr/>
              <w:t>First Call Completed</w:t>
            </w:r>
          </w:p>
        </w:tc>
        <w:tc>
          <w:tcPr>
            <w:tcW w:w="1700" w:type="dxa"/>
          </w:tcPr>
          <w:p>
            <w:r>
              <w:rPr/>
              <w:t>6</w:t>
            </w:r>
          </w:p>
        </w:tc>
        <w:tc>
          <w:tcPr>
            <w:tcW w:w="1700" w:type="dxa"/>
          </w:tcPr>
          <w:p>
            <w:r>
              <w:rPr/>
              <w:t>Pipedrive swim lane</w:t>
            </w:r>
          </w:p>
        </w:tc>
        <w:tc>
          <w:tcPr>
            <w:tcW w:w="1700" w:type="dxa"/>
          </w:tcPr>
          <w:p>
            <w:r>
              <w:rPr/>
              <w:t>CRM deals that reached the first-call-completed lane during the period</w:t>
            </w:r>
          </w:p>
        </w:tc>
      </w:tr>
    </w:tbl>
    <w:p>
      <w:pPr>
        <w:spacing w:before="240" w:after="120"/>
      </w:pPr>
      <w:r>
        <w:rPr>
          <w:b/>
          <w:sz w:val="24"/>
          <w:color w:val="1A1A2E"/>
        </w:rPr>
        <w:t>Current open CRM funnel: 265 deals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Open Swim Lane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Open Deals</w:t>
            </w:r>
          </w:p>
        </w:tc>
      </w:tr>
      <w:tr>
        <w:tc>
          <w:tcPr>
            <w:tcW w:w="1700" w:type="dxa"/>
          </w:tcPr>
          <w:p>
            <w:r>
              <w:rPr/>
              <w:t>Application Submitted</w:t>
            </w:r>
          </w:p>
        </w:tc>
        <w:tc>
          <w:tcPr>
            <w:tcW w:w="1700" w:type="dxa"/>
          </w:tcPr>
          <w:p>
            <w:r>
              <w:rPr/>
              <w:t>105</w:t>
            </w:r>
          </w:p>
        </w:tc>
      </w:tr>
      <w:tr>
        <w:tc>
          <w:tcPr>
            <w:tcW w:w="1700" w:type="dxa"/>
          </w:tcPr>
          <w:p>
            <w:r>
              <w:rPr/>
              <w:t>First Call Completed</w:t>
            </w:r>
          </w:p>
        </w:tc>
        <w:tc>
          <w:tcPr>
            <w:tcW w:w="1700" w:type="dxa"/>
          </w:tcPr>
          <w:p>
            <w:r>
              <w:rPr/>
              <w:t>94</w:t>
            </w:r>
          </w:p>
        </w:tc>
      </w:tr>
      <w:tr>
        <w:tc>
          <w:tcPr>
            <w:tcW w:w="1700" w:type="dxa"/>
          </w:tcPr>
          <w:p>
            <w:r>
              <w:rPr/>
              <w:t>On Hold</w:t>
            </w:r>
          </w:p>
        </w:tc>
        <w:tc>
          <w:tcPr>
            <w:tcW w:w="1700" w:type="dxa"/>
          </w:tcPr>
          <w:p>
            <w:r>
              <w:rPr/>
              <w:t>24</w:t>
            </w:r>
          </w:p>
        </w:tc>
      </w:tr>
      <w:tr>
        <w:tc>
          <w:tcPr>
            <w:tcW w:w="1700" w:type="dxa"/>
          </w:tcPr>
          <w:p>
            <w:r>
              <w:rPr/>
              <w:t>Waiting for delivery day</w:t>
            </w:r>
          </w:p>
        </w:tc>
        <w:tc>
          <w:tcPr>
            <w:tcW w:w="1700" w:type="dxa"/>
          </w:tcPr>
          <w:p>
            <w:r>
              <w:rPr/>
              <w:t>14</w:t>
            </w:r>
          </w:p>
        </w:tc>
      </w:tr>
      <w:tr>
        <w:tc>
          <w:tcPr>
            <w:tcW w:w="1700" w:type="dxa"/>
          </w:tcPr>
          <w:p>
            <w:r>
              <w:rPr/>
              <w:t>Building Members</w:t>
            </w:r>
          </w:p>
        </w:tc>
        <w:tc>
          <w:tcPr>
            <w:tcW w:w="1700" w:type="dxa"/>
          </w:tcPr>
          <w:p>
            <w:r>
              <w:rPr/>
              <w:t>12</w:t>
            </w:r>
          </w:p>
        </w:tc>
      </w:tr>
      <w:tr>
        <w:tc>
          <w:tcPr>
            <w:tcW w:w="1700" w:type="dxa"/>
          </w:tcPr>
          <w:p>
            <w:r>
              <w:rPr/>
              <w:t>Hub pack complete</w:t>
            </w:r>
          </w:p>
        </w:tc>
        <w:tc>
          <w:tcPr>
            <w:tcW w:w="1700" w:type="dxa"/>
          </w:tcPr>
          <w:p>
            <w:r>
              <w:rPr/>
              <w:t>4</w:t>
            </w:r>
          </w:p>
        </w:tc>
      </w:tr>
      <w:tr>
        <w:tc>
          <w:tcPr>
            <w:tcW w:w="1700" w:type="dxa"/>
          </w:tcPr>
          <w:p>
            <w:r>
              <w:rPr/>
              <w:t>Hub to be listed</w:t>
            </w:r>
          </w:p>
        </w:tc>
        <w:tc>
          <w:tcPr>
            <w:tcW w:w="1700" w:type="dxa"/>
          </w:tcPr>
          <w:p>
            <w:r>
              <w:rPr/>
              <w:t>4</w:t>
            </w:r>
          </w:p>
        </w:tc>
      </w:tr>
      <w:tr>
        <w:tc>
          <w:tcPr>
            <w:tcW w:w="1700" w:type="dxa"/>
          </w:tcPr>
          <w:p>
            <w:r>
              <w:rPr/>
              <w:t>Joined hub</w:t>
            </w:r>
          </w:p>
        </w:tc>
        <w:tc>
          <w:tcPr>
            <w:tcW w:w="1700" w:type="dxa"/>
          </w:tcPr>
          <w:p>
            <w:r>
              <w:rPr/>
              <w:t>4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  <w:p>
      <w:pPr>
        <w:spacing w:before="360" w:after="120"/>
      </w:pPr>
      <w:r>
        <w:rPr>
          <w:b/>
          <w:sz w:val="28"/>
          <w:color w:val="1A1A2E"/>
        </w:rPr>
        <w:t>Brisbane Campaign Drill-down</w:t>
      </w:r>
    </w:p>
    <w:p>
      <w:r>
        <w:rPr>
          <w:sz w:val="20"/>
          <w:color w:val="64748B"/>
        </w:rPr>
        <w:t>Separate view of the Brisbane campaign so it can be reviewed independently from Melbourne and Bendigo.</w:t>
      </w:r>
    </w:p>
    <w:p>
      <w:pPr>
        <w:jc w:val="center"/>
        <w:spacing w:before="160" w:after="220"/>
      </w:pPr>
      <w:r>
        <w:drawing>
          <wp:inline xmlns:wp="http://schemas.openxmlformats.org/drawingml/2006/wordprocessingDrawing" distT="0" distB="0" distL="0" distR="0">
            <wp:extent cx="5486400" cy="2590800"/>
            <wp:effectExtent l="0" t="0" r="0" b="0"/>
            <wp:docPr id="15" name="boxdivvy-brisbane-drilldown-17814949148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boxdivvy-brisbane-drilldown-1781494914839.png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Period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Spend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Leads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Completed Applications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Completion Rate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CPL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CTR</w:t>
            </w:r>
          </w:p>
        </w:tc>
      </w:tr>
      <w:tr>
        <w:tc>
          <w:tcPr>
            <w:tcW w:w="1700" w:type="dxa"/>
          </w:tcPr>
          <w:p>
            <w:r>
              <w:rPr/>
              <w:t>Selected Period</w:t>
            </w:r>
          </w:p>
        </w:tc>
        <w:tc>
          <w:tcPr>
            <w:tcW w:w="1700" w:type="dxa"/>
          </w:tcPr>
          <w:p>
            <w:r>
              <w:rPr/>
              <w:t>$489.60</w:t>
            </w:r>
          </w:p>
        </w:tc>
        <w:tc>
          <w:tcPr>
            <w:tcW w:w="1700" w:type="dxa"/>
          </w:tcPr>
          <w:p>
            <w:r>
              <w:rPr/>
              <w:t>9</w:t>
            </w:r>
          </w:p>
        </w:tc>
        <w:tc>
          <w:tcPr>
            <w:tcW w:w="1700" w:type="dxa"/>
          </w:tcPr>
          <w:p>
            <w:r>
              <w:rPr/>
              <w:t>6</w:t>
            </w:r>
          </w:p>
        </w:tc>
        <w:tc>
          <w:tcPr>
            <w:tcW w:w="1700" w:type="dxa"/>
          </w:tcPr>
          <w:p>
            <w:r>
              <w:rPr/>
              <w:t>66.67%</w:t>
            </w:r>
          </w:p>
        </w:tc>
        <w:tc>
          <w:tcPr>
            <w:tcW w:w="1700" w:type="dxa"/>
          </w:tcPr>
          <w:p>
            <w:r>
              <w:rPr/>
              <w:t>$54.40</w:t>
            </w:r>
          </w:p>
        </w:tc>
        <w:tc>
          <w:tcPr>
            <w:tcW w:w="1700" w:type="dxa"/>
          </w:tcPr>
          <w:p>
            <w:r>
              <w:rPr/>
              <w:t>4.23%</w:t>
            </w:r>
          </w:p>
        </w:tc>
      </w:tr>
      <w:tr>
        <w:tc>
          <w:tcPr>
            <w:tcW w:w="1700" w:type="dxa"/>
          </w:tcPr>
          <w:p>
            <w:r>
              <w:rPr/>
              <w:t>Last 30 Days</w:t>
            </w:r>
          </w:p>
        </w:tc>
        <w:tc>
          <w:tcPr>
            <w:tcW w:w="1700" w:type="dxa"/>
          </w:tcPr>
          <w:p>
            <w:r>
              <w:rPr/>
              <w:t>$2,107.97</w:t>
            </w:r>
          </w:p>
        </w:tc>
        <w:tc>
          <w:tcPr>
            <w:tcW w:w="1700" w:type="dxa"/>
          </w:tcPr>
          <w:p>
            <w:r>
              <w:rPr/>
              <w:t>51</w:t>
            </w:r>
          </w:p>
        </w:tc>
        <w:tc>
          <w:tcPr>
            <w:tcW w:w="1700" w:type="dxa"/>
          </w:tcPr>
          <w:p>
            <w:r>
              <w:rPr/>
              <w:t>26</w:t>
            </w:r>
          </w:p>
        </w:tc>
        <w:tc>
          <w:tcPr>
            <w:tcW w:w="1700" w:type="dxa"/>
          </w:tcPr>
          <w:p>
            <w:r>
              <w:rPr/>
              <w:t>50.98%</w:t>
            </w:r>
          </w:p>
        </w:tc>
        <w:tc>
          <w:tcPr>
            <w:tcW w:w="1700" w:type="dxa"/>
          </w:tcPr>
          <w:p>
            <w:r>
              <w:rPr/>
              <w:t>$41.33</w:t>
            </w:r>
          </w:p>
        </w:tc>
        <w:tc>
          <w:tcPr>
            <w:tcW w:w="1700" w:type="dxa"/>
          </w:tcPr>
          <w:p>
            <w:r>
              <w:rPr/>
              <w:t>4.03%</w:t>
            </w:r>
          </w:p>
        </w:tc>
      </w:tr>
      <w:tr>
        <w:tc>
          <w:tcPr>
            <w:tcW w:w="1700" w:type="dxa"/>
          </w:tcPr>
          <w:p>
            <w:r>
              <w:rPr/>
              <w:t>Campaign to Date</w:t>
            </w:r>
          </w:p>
        </w:tc>
        <w:tc>
          <w:tcPr>
            <w:tcW w:w="1700" w:type="dxa"/>
          </w:tcPr>
          <w:p>
            <w:r>
              <w:rPr/>
              <w:t>$3,019.54</w:t>
            </w:r>
          </w:p>
        </w:tc>
        <w:tc>
          <w:tcPr>
            <w:tcW w:w="1700" w:type="dxa"/>
          </w:tcPr>
          <w:p>
            <w:r>
              <w:rPr/>
              <w:t>103</w:t>
            </w:r>
          </w:p>
        </w:tc>
        <w:tc>
          <w:tcPr>
            <w:tcW w:w="1700" w:type="dxa"/>
          </w:tcPr>
          <w:p>
            <w:r>
              <w:rPr/>
              <w:t>52</w:t>
            </w:r>
          </w:p>
        </w:tc>
        <w:tc>
          <w:tcPr>
            <w:tcW w:w="1700" w:type="dxa"/>
          </w:tcPr>
          <w:p>
            <w:r>
              <w:rPr/>
              <w:t>50.49%</w:t>
            </w:r>
          </w:p>
        </w:tc>
        <w:tc>
          <w:tcPr>
            <w:tcW w:w="1700" w:type="dxa"/>
          </w:tcPr>
          <w:p>
            <w:r>
              <w:rPr/>
              <w:t>$29.32</w:t>
            </w:r>
          </w:p>
        </w:tc>
        <w:tc>
          <w:tcPr>
            <w:tcW w:w="1700" w:type="dxa"/>
          </w:tcPr>
          <w:p>
            <w:r>
              <w:rPr/>
              <w:t>4.69%</w:t>
            </w:r>
          </w:p>
        </w:tc>
      </w:tr>
    </w:tbl>
    <w:p>
      <w:pPr>
        <w:spacing w:before="260" w:after="120"/>
      </w:pPr>
      <w:r>
        <w:rPr>
          <w:b/>
          <w:sz w:val="24"/>
          <w:color w:val="1A1A2E"/>
        </w:rPr>
        <w:t>Top Brisbane Ads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Ad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Spend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Leads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CPL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CTR</w:t>
            </w:r>
          </w:p>
        </w:tc>
      </w:tr>
      <w:tr>
        <w:tc>
          <w:tcPr>
            <w:tcW w:w="1700" w:type="dxa"/>
          </w:tcPr>
          <w:p>
            <w:r>
              <w:rPr/>
              <w:t>BD-BNE MOF - 20260512-ROOT - 06 - km-BD-Reel-Ad-6-0-Redesigned-1080p-60f-20260511-024521</w:t>
            </w:r>
          </w:p>
        </w:tc>
        <w:tc>
          <w:tcPr>
            <w:tcW w:w="1700" w:type="dxa"/>
          </w:tcPr>
          <w:p>
            <w:r>
              <w:rPr/>
              <w:t>$1.63</w:t>
            </w:r>
          </w:p>
        </w:tc>
        <w:tc>
          <w:tcPr>
            <w:tcW w:w="1700" w:type="dxa"/>
          </w:tcPr>
          <w:p>
            <w:r>
              <w:rPr/>
              <w:t>1</w:t>
            </w:r>
          </w:p>
        </w:tc>
        <w:tc>
          <w:tcPr>
            <w:tcW w:w="1700" w:type="dxa"/>
          </w:tcPr>
          <w:p>
            <w:r>
              <w:rPr/>
              <w:t>$1.63</w:t>
            </w:r>
          </w:p>
        </w:tc>
        <w:tc>
          <w:tcPr>
            <w:tcW w:w="1700" w:type="dxa"/>
          </w:tcPr>
          <w:p>
            <w:r>
              <w:rPr/>
              <w:t>8.33%</w:t>
            </w:r>
          </w:p>
        </w:tc>
      </w:tr>
      <w:tr>
        <w:tc>
          <w:tcPr>
            <w:tcW w:w="1700" w:type="dxa"/>
          </w:tcPr>
          <w:p>
            <w:r>
              <w:rPr/>
              <w:t>BD-BNE TOF - 20260512-ROOT - 09 - km-BD-Ad-2-0-Redesigned-1080p-60f-20260511-023045</w:t>
            </w:r>
          </w:p>
        </w:tc>
        <w:tc>
          <w:tcPr>
            <w:tcW w:w="1700" w:type="dxa"/>
          </w:tcPr>
          <w:p>
            <w:r>
              <w:rPr/>
              <w:t>$4.86</w:t>
            </w:r>
          </w:p>
        </w:tc>
        <w:tc>
          <w:tcPr>
            <w:tcW w:w="1700" w:type="dxa"/>
          </w:tcPr>
          <w:p>
            <w:r>
              <w:rPr/>
              <w:t>1</w:t>
            </w:r>
          </w:p>
        </w:tc>
        <w:tc>
          <w:tcPr>
            <w:tcW w:w="1700" w:type="dxa"/>
          </w:tcPr>
          <w:p>
            <w:r>
              <w:rPr/>
              <w:t>$4.86</w:t>
            </w:r>
          </w:p>
        </w:tc>
        <w:tc>
          <w:tcPr>
            <w:tcW w:w="1700" w:type="dxa"/>
          </w:tcPr>
          <w:p>
            <w:r>
              <w:rPr/>
              <w:t>2.55%</w:t>
            </w:r>
          </w:p>
        </w:tc>
      </w:tr>
      <w:tr>
        <w:tc>
          <w:tcPr>
            <w:tcW w:w="1700" w:type="dxa"/>
          </w:tcPr>
          <w:p>
            <w:r>
              <w:rPr/>
              <w:t>BD-BNE TOF - Jan-12-26 - copy_61BC4AF8-4B02-4882-A36C-5089A05D079E</w:t>
            </w:r>
          </w:p>
        </w:tc>
        <w:tc>
          <w:tcPr>
            <w:tcW w:w="1700" w:type="dxa"/>
          </w:tcPr>
          <w:p>
            <w:r>
              <w:rPr/>
              <w:t>$10.73</w:t>
            </w:r>
          </w:p>
        </w:tc>
        <w:tc>
          <w:tcPr>
            <w:tcW w:w="1700" w:type="dxa"/>
          </w:tcPr>
          <w:p>
            <w:r>
              <w:rPr/>
              <w:t>1</w:t>
            </w:r>
          </w:p>
        </w:tc>
        <w:tc>
          <w:tcPr>
            <w:tcW w:w="1700" w:type="dxa"/>
          </w:tcPr>
          <w:p>
            <w:r>
              <w:rPr/>
              <w:t>$10.73</w:t>
            </w:r>
          </w:p>
        </w:tc>
        <w:tc>
          <w:tcPr>
            <w:tcW w:w="1700" w:type="dxa"/>
          </w:tcPr>
          <w:p>
            <w:r>
              <w:rPr/>
              <w:t>2.75%</w:t>
            </w:r>
          </w:p>
        </w:tc>
      </w:tr>
      <w:tr>
        <w:tc>
          <w:tcPr>
            <w:tcW w:w="1700" w:type="dxa"/>
          </w:tcPr>
          <w:p>
            <w:r>
              <w:rPr/>
              <w:t>BD-BNE TOF - DEC-22-2025 - copy_9B8E5707-E50A-4DAD-94BB-138C32A34A9B</w:t>
            </w:r>
          </w:p>
        </w:tc>
        <w:tc>
          <w:tcPr>
            <w:tcW w:w="1700" w:type="dxa"/>
          </w:tcPr>
          <w:p>
            <w:r>
              <w:rPr/>
              <w:t>$403.20</w:t>
            </w:r>
          </w:p>
        </w:tc>
        <w:tc>
          <w:tcPr>
            <w:tcW w:w="1700" w:type="dxa"/>
          </w:tcPr>
          <w:p>
            <w:r>
              <w:rPr/>
              <w:t>6</w:t>
            </w:r>
          </w:p>
        </w:tc>
        <w:tc>
          <w:tcPr>
            <w:tcW w:w="1700" w:type="dxa"/>
          </w:tcPr>
          <w:p>
            <w:r>
              <w:rPr/>
              <w:t>$67.20</w:t>
            </w:r>
          </w:p>
        </w:tc>
        <w:tc>
          <w:tcPr>
            <w:tcW w:w="1700" w:type="dxa"/>
          </w:tcPr>
          <w:p>
            <w:r>
              <w:rPr/>
              <w:t>4.61%</w:t>
            </w:r>
          </w:p>
        </w:tc>
      </w:tr>
    </w:tbl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Relationship Id="rId15" Type="http://schemas.openxmlformats.org/officeDocument/2006/relationships/image" Target="media/boxdivvy-brisbane-drilldown-178149491483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