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15 June 2026 – 21 June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strong performance with a blended CPL of $6.16 across 81 leads. Total ad spend for the period was $498.71 with an average CTR of 8.31%. The top performer achieved a CPL of $3.00 (DEC-29-2025 - copy_EE96AA98-791D-40C6-98).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$498.71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81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8.31%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$2,106.09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282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6.71%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$11,222.55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1239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$9.06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6.63%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May-28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$26.54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...351600360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5.29%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DEC-29 Release: </w:t>
      </w:r>
      <w:r>
        <w:rPr>
          <w:color w:val="475569"/>
          <w:sz w:val="22"/>
          <w:szCs w:val="22"/>
        </w:rPr>
        <w:t xml:space="preserve">2 conversions from 1 ad(s) – Best cost: $3.00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5 conversions from 2 ad(s) – Best cost: $3.54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DEC-29-2025 - copy_EE96AA98-791D-40C6-98E3-428C29F68F42 - Copy – 2 conversions at $3.00 cost, 5.29%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2 conversions at $3.54 cost, 2.26%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32 leads, $11.98 CPL, 6.22%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29 leads, $9.54 CPL, 7.48%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27 leads, $8.64 CPL, 5.12%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Exceptional click-through rate of 8.31% indicates highly engaging ad creative and strong audience targeting resonance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Cost per lead of $6.16 demonstrates efficient lead acquisition, particularly for B2B services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conversion performance from clicks to leads with consistent delivery across different ad copies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Top-performing creative (DEC-29-2025) achieving $3.00 cost per lead with 5.29% CTR shows scalable winning elements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Scale successful creative elements from top performers, particularly the DEC-29-2025 copy format and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Investigate why DEC-15-2025 copy has lower CTR (2.26%) despite good cost per lead to optimise underperforming variants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Expand audience reach whilst maintaining quality - current performance suggests room for increased budget allocation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Test additional creative variations based on the successful Jan-17-26 copy which generated the highest lead volume (11 leads)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Increase budget allocation to the DEC-29-2025 creative by 40% to capitalise on its $3.00 cost per lead performance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2-3 new ad variations using the messaging framework and visual elements from the top-performing creatives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insights from highest-performing ads to identify expansion opportunities and create lookalike audiences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Pause or significantly reduce spend on the DEC-15-2025 creative and reallocate budget to proven performers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685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p>
      <w:pPr>
        <w:spacing w:before="360" w:after="120"/>
      </w:pPr>
      <w:r>
        <w:rPr>
          <w:b/>
          <w:sz w:val="28"/>
          <w:color w:val="1A1A2E"/>
        </w:rPr>
        <w:t>Lead → Completed Application Dropoff</w:t>
      </w:r>
    </w:p>
    <w:p>
      <w:r>
        <w:rPr>
          <w:sz w:val="20"/>
          <w:color w:val="64748B"/>
        </w:rPr>
        <w:t>Meta lead aliases are not summed. This compares the canonical Meta Lead event against completed applications from complete_registration.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Meta 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Dropoff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Cost / Completed</w:t>
            </w:r>
          </w:p>
        </w:tc>
      </w:tr>
      <w:tr>
        <w:tc>
          <w:tcPr>
            <w:tcW w:w="1700" w:type="dxa"/>
          </w:tcPr>
          <w:p>
            <w:r>
              <w:rPr/>
              <w:t>This Week</w:t>
            </w:r>
          </w:p>
        </w:tc>
        <w:tc>
          <w:tcPr>
            <w:tcW w:w="1700" w:type="dxa"/>
          </w:tcPr>
          <w:p>
            <w:r>
              <w:rPr/>
              <w:t>81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  <w:tc>
          <w:tcPr>
            <w:tcW w:w="1700" w:type="dxa"/>
          </w:tcPr>
          <w:p>
            <w:r>
              <w:rPr/>
              <w:t>69</w:t>
            </w:r>
          </w:p>
        </w:tc>
        <w:tc>
          <w:tcPr>
            <w:tcW w:w="1700" w:type="dxa"/>
          </w:tcPr>
          <w:p>
            <w:r>
              <w:rPr/>
              <w:t>14.81%</w:t>
            </w:r>
          </w:p>
        </w:tc>
        <w:tc>
          <w:tcPr>
            <w:tcW w:w="1700" w:type="dxa"/>
          </w:tcPr>
          <w:p>
            <w:r>
              <w:rPr/>
              <w:t>$41.56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282</w:t>
            </w:r>
          </w:p>
        </w:tc>
        <w:tc>
          <w:tcPr>
            <w:tcW w:w="1700" w:type="dxa"/>
          </w:tcPr>
          <w:p>
            <w:r>
              <w:rPr/>
              <w:t>92</w:t>
            </w:r>
          </w:p>
        </w:tc>
        <w:tc>
          <w:tcPr>
            <w:tcW w:w="1700" w:type="dxa"/>
          </w:tcPr>
          <w:p>
            <w:r>
              <w:rPr/>
              <w:t>190</w:t>
            </w:r>
          </w:p>
        </w:tc>
        <w:tc>
          <w:tcPr>
            <w:tcW w:w="1700" w:type="dxa"/>
          </w:tcPr>
          <w:p>
            <w:r>
              <w:rPr/>
              <w:t>32.62%</w:t>
            </w:r>
          </w:p>
        </w:tc>
        <w:tc>
          <w:tcPr>
            <w:tcW w:w="1700" w:type="dxa"/>
          </w:tcPr>
          <w:p>
            <w:r>
              <w:rPr/>
              <w:t>$22.89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1239</w:t>
            </w:r>
          </w:p>
        </w:tc>
        <w:tc>
          <w:tcPr>
            <w:tcW w:w="1700" w:type="dxa"/>
          </w:tcPr>
          <w:p>
            <w:r>
              <w:rPr/>
              <w:t>448</w:t>
            </w:r>
          </w:p>
        </w:tc>
        <w:tc>
          <w:tcPr>
            <w:tcW w:w="1700" w:type="dxa"/>
          </w:tcPr>
          <w:p>
            <w:r>
              <w:rPr/>
              <w:t>791</w:t>
            </w:r>
          </w:p>
        </w:tc>
        <w:tc>
          <w:tcPr>
            <w:tcW w:w="1700" w:type="dxa"/>
          </w:tcPr>
          <w:p>
            <w:r>
              <w:rPr/>
              <w:t>36.16%</w:t>
            </w:r>
          </w:p>
        </w:tc>
        <w:tc>
          <w:tcPr>
            <w:tcW w:w="1700" w:type="dxa"/>
          </w:tcPr>
          <w:p>
            <w:r>
              <w:rPr/>
              <w:t>$25.05</w:t>
            </w:r>
          </w:p>
        </w:tc>
      </w:tr>
    </w:tbl>
    <w:p>
      <w:pPr>
        <w:spacing w:before="360" w:after="120"/>
      </w:pPr>
      <w:r>
        <w:rPr>
          <w:b/>
          <w:sz w:val="28"/>
          <w:color w:val="1A1A2E"/>
        </w:rPr>
        <w:t>Full Funnel — Meta → Pipedrive Swim Lanes</w:t>
      </w:r>
    </w:p>
    <w:p>
      <w:r>
        <w:rPr>
          <w:sz w:val="20"/>
          <w:color w:val="64748B"/>
        </w:rPr>
        <w:t>Direct Pipedrive pull from BoxDivvy Hubster Recruitment, Hub in Progress, and Hub Handovers. This shows application-stage CRM reality beside Meta attribution.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Funnel Stage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w="1700" w:type="dxa"/>
          </w:tcPr>
          <w:p>
            <w:r>
              <w:rPr/>
              <w:t>Meta Leads</w:t>
            </w:r>
          </w:p>
        </w:tc>
        <w:tc>
          <w:tcPr>
            <w:tcW w:w="1700" w:type="dxa"/>
          </w:tcPr>
          <w:p>
            <w:r>
              <w:rPr/>
              <w:t>81</w:t>
            </w:r>
          </w:p>
        </w:tc>
        <w:tc>
          <w:tcPr>
            <w:tcW w:w="1700" w:type="dxa"/>
          </w:tcPr>
          <w:p>
            <w:r>
              <w:rPr/>
              <w:t>Meta canonical lead</w:t>
            </w:r>
          </w:p>
        </w:tc>
        <w:tc>
          <w:tcPr>
            <w:tcW w:w="1700" w:type="dxa"/>
          </w:tcPr>
          <w:p>
            <w:r>
              <w:rPr/>
              <w:t>Top-funnel ad-attributed leads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12</w:t>
            </w:r>
          </w:p>
        </w:tc>
        <w:tc>
          <w:tcPr>
            <w:tcW w:w="1700" w:type="dxa"/>
          </w:tcPr>
          <w:p>
            <w:r>
              <w:rPr/>
              <w:t>Meta complete_registration</w:t>
            </w:r>
          </w:p>
        </w:tc>
        <w:tc>
          <w:tcPr>
            <w:tcW w:w="1700" w:type="dxa"/>
          </w:tcPr>
          <w:p>
            <w:r>
              <w:rPr/>
              <w:t>Ad-attributed submitted applications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  <w:tc>
          <w:tcPr>
            <w:tcW w:w="1700" w:type="dxa"/>
          </w:tcPr>
          <w:p>
            <w:r>
              <w:rPr/>
              <w:t>Pipedrive swim lane</w:t>
            </w:r>
          </w:p>
        </w:tc>
        <w:tc>
          <w:tcPr>
            <w:tcW w:w="1700" w:type="dxa"/>
          </w:tcPr>
          <w:p>
            <w:r>
              <w:rPr/>
              <w:t>CRM deals that reached the first-call-completed lane during the period</w:t>
            </w:r>
          </w:p>
        </w:tc>
      </w:tr>
    </w:tbl>
    <w:p>
      <w:pPr>
        <w:spacing w:before="240" w:after="120"/>
      </w:pPr>
      <w:r>
        <w:rPr>
          <w:b/>
          <w:sz w:val="24"/>
          <w:color w:val="1A1A2E"/>
        </w:rPr>
        <w:t>Current open CRM funnel: 237 deals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Swim Lane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Open Deals</w:t>
            </w:r>
          </w:p>
        </w:tc>
      </w:tr>
      <w:tr>
        <w:tc>
          <w:tcPr>
            <w:tcW w:w="1700" w:type="dxa"/>
          </w:tcPr>
          <w:p>
            <w:r>
              <w:rPr/>
              <w:t>First Call Completed</w:t>
            </w:r>
          </w:p>
        </w:tc>
        <w:tc>
          <w:tcPr>
            <w:tcW w:w="1700" w:type="dxa"/>
          </w:tcPr>
          <w:p>
            <w:r>
              <w:rPr/>
              <w:t>93</w:t>
            </w:r>
          </w:p>
        </w:tc>
      </w:tr>
      <w:tr>
        <w:tc>
          <w:tcPr>
            <w:tcW w:w="1700" w:type="dxa"/>
          </w:tcPr>
          <w:p>
            <w:r>
              <w:rPr/>
              <w:t>Application Submitted</w:t>
            </w:r>
          </w:p>
        </w:tc>
        <w:tc>
          <w:tcPr>
            <w:tcW w:w="1700" w:type="dxa"/>
          </w:tcPr>
          <w:p>
            <w:r>
              <w:rPr/>
              <w:t>76</w:t>
            </w:r>
          </w:p>
        </w:tc>
      </w:tr>
      <w:tr>
        <w:tc>
          <w:tcPr>
            <w:tcW w:w="1700" w:type="dxa"/>
          </w:tcPr>
          <w:p>
            <w:r>
              <w:rPr/>
              <w:t>On Hold</w:t>
            </w:r>
          </w:p>
        </w:tc>
        <w:tc>
          <w:tcPr>
            <w:tcW w:w="1700" w:type="dxa"/>
          </w:tcPr>
          <w:p>
            <w:r>
              <w:rPr/>
              <w:t>29</w:t>
            </w:r>
          </w:p>
        </w:tc>
      </w:tr>
      <w:tr>
        <w:tc>
          <w:tcPr>
            <w:tcW w:w="1700" w:type="dxa"/>
          </w:tcPr>
          <w:p>
            <w:r>
              <w:rPr/>
              <w:t>Waiting for delivery day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</w:tr>
      <w:tr>
        <w:tc>
          <w:tcPr>
            <w:tcW w:w="1700" w:type="dxa"/>
          </w:tcPr>
          <w:p>
            <w:r>
              <w:rPr/>
              <w:t>Building Members</w:t>
            </w:r>
          </w:p>
        </w:tc>
        <w:tc>
          <w:tcPr>
            <w:tcW w:w="1700" w:type="dxa"/>
          </w:tcPr>
          <w:p>
            <w:r>
              <w:rPr/>
              <w:t>10</w:t>
            </w:r>
          </w:p>
        </w:tc>
      </w:tr>
      <w:tr>
        <w:tc>
          <w:tcPr>
            <w:tcW w:w="1700" w:type="dxa"/>
          </w:tcPr>
          <w:p>
            <w:r>
              <w:rPr/>
              <w:t>Waiting on marketing call</w:t>
            </w:r>
          </w:p>
        </w:tc>
        <w:tc>
          <w:tcPr>
            <w:tcW w:w="1700" w:type="dxa"/>
          </w:tcPr>
          <w:p>
            <w:r>
              <w:rPr/>
              <w:t>6</w:t>
            </w:r>
          </w:p>
        </w:tc>
      </w:tr>
      <w:tr>
        <w:tc>
          <w:tcPr>
            <w:tcW w:w="1700" w:type="dxa"/>
          </w:tcPr>
          <w:p>
            <w:r>
              <w:rPr/>
              <w:t>Hub pack complete</w:t>
            </w:r>
          </w:p>
        </w:tc>
        <w:tc>
          <w:tcPr>
            <w:tcW w:w="1700" w:type="dxa"/>
          </w:tcPr>
          <w:p>
            <w:r>
              <w:rPr/>
              <w:t>5</w:t>
            </w:r>
          </w:p>
        </w:tc>
      </w:tr>
      <w:tr>
        <w:tc>
          <w:tcPr>
            <w:tcW w:w="1700" w:type="dxa"/>
          </w:tcPr>
          <w:p>
            <w:r>
              <w:rPr/>
              <w:t>Waiting for app training</w:t>
            </w:r>
          </w:p>
        </w:tc>
        <w:tc>
          <w:tcPr>
            <w:tcW w:w="1700" w:type="dxa"/>
          </w:tcPr>
          <w:p>
            <w:r>
              <w:rPr/>
              <w:t>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  <w:p>
      <w:pPr>
        <w:spacing w:before="360" w:after="120"/>
      </w:pPr>
      <w:r>
        <w:rPr>
          <w:b/>
          <w:sz w:val="28"/>
          <w:color w:val="1A1A2E"/>
        </w:rPr>
        <w:t>Brisbane Campaign Drill-down</w:t>
      </w:r>
    </w:p>
    <w:p>
      <w:r>
        <w:rPr>
          <w:sz w:val="20"/>
          <w:color w:val="64748B"/>
        </w:rPr>
        <w:t>Separate view of the Brisbane campaign so it can be reviewed independently from Melbourne and Bendigo.</w:t>
      </w:r>
    </w:p>
    <w:p>
      <w:pPr>
        <w:jc w:val="center"/>
        <w:spacing w:before="160" w:after="220"/>
      </w:pPr>
      <w:r>
        <w:drawing>
          <wp:inline xmlns:wp="http://schemas.openxmlformats.org/drawingml/2006/wordprocessingDrawing" distT="0" distB="0" distL="0" distR="0">
            <wp:extent cx="5486400" cy="2590800"/>
            <wp:effectExtent l="0" t="0" r="0" b="0"/>
            <wp:docPr id="15" name="boxdivvy-brisbane-drilldown-17821217850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oxdivvy-brisbane-drilldown-1782121785065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Completed Applications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Completion Rate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Selected Period</w:t>
            </w:r>
          </w:p>
        </w:tc>
        <w:tc>
          <w:tcPr>
            <w:tcW w:w="1700" w:type="dxa"/>
          </w:tcPr>
          <w:p>
            <w:r>
              <w:rPr/>
              <w:t>$485.57</w:t>
            </w:r>
          </w:p>
        </w:tc>
        <w:tc>
          <w:tcPr>
            <w:tcW w:w="1700" w:type="dxa"/>
          </w:tcPr>
          <w:p>
            <w:r>
              <w:rPr/>
              <w:t>20</w:t>
            </w:r>
          </w:p>
        </w:tc>
        <w:tc>
          <w:tcPr>
            <w:tcW w:w="1700" w:type="dxa"/>
          </w:tcPr>
          <w:p>
            <w:r>
              <w:rPr/>
              <w:t>11</w:t>
            </w:r>
          </w:p>
        </w:tc>
        <w:tc>
          <w:tcPr>
            <w:tcW w:w="1700" w:type="dxa"/>
          </w:tcPr>
          <w:p>
            <w:r>
              <w:rPr/>
              <w:t>55.00%</w:t>
            </w:r>
          </w:p>
        </w:tc>
        <w:tc>
          <w:tcPr>
            <w:tcW w:w="1700" w:type="dxa"/>
          </w:tcPr>
          <w:p>
            <w:r>
              <w:rPr/>
              <w:t>$24.28</w:t>
            </w:r>
          </w:p>
        </w:tc>
        <w:tc>
          <w:tcPr>
            <w:tcW w:w="1700" w:type="dxa"/>
          </w:tcPr>
          <w:p>
            <w:r>
              <w:rPr/>
              <w:t>4.65%</w:t>
            </w:r>
          </w:p>
        </w:tc>
      </w:tr>
      <w:tr>
        <w:tc>
          <w:tcPr>
            <w:tcW w:w="1700" w:type="dxa"/>
          </w:tcPr>
          <w:p>
            <w:r>
              <w:rPr/>
              <w:t>Last 30 Days</w:t>
            </w:r>
          </w:p>
        </w:tc>
        <w:tc>
          <w:tcPr>
            <w:tcW w:w="1700" w:type="dxa"/>
          </w:tcPr>
          <w:p>
            <w:r>
              <w:rPr/>
              <w:t>$2,097.77</w:t>
            </w:r>
          </w:p>
        </w:tc>
        <w:tc>
          <w:tcPr>
            <w:tcW w:w="1700" w:type="dxa"/>
          </w:tcPr>
          <w:p>
            <w:r>
              <w:rPr/>
              <w:t>53</w:t>
            </w:r>
          </w:p>
        </w:tc>
        <w:tc>
          <w:tcPr>
            <w:tcW w:w="1700" w:type="dxa"/>
          </w:tcPr>
          <w:p>
            <w:r>
              <w:rPr/>
              <w:t>30</w:t>
            </w:r>
          </w:p>
        </w:tc>
        <w:tc>
          <w:tcPr>
            <w:tcW w:w="1700" w:type="dxa"/>
          </w:tcPr>
          <w:p>
            <w:r>
              <w:rPr/>
              <w:t>56.60%</w:t>
            </w:r>
          </w:p>
        </w:tc>
        <w:tc>
          <w:tcPr>
            <w:tcW w:w="1700" w:type="dxa"/>
          </w:tcPr>
          <w:p>
            <w:r>
              <w:rPr/>
              <w:t>$39.58</w:t>
            </w:r>
          </w:p>
        </w:tc>
        <w:tc>
          <w:tcPr>
            <w:tcW w:w="1700" w:type="dxa"/>
          </w:tcPr>
          <w:p>
            <w:r>
              <w:rPr/>
              <w:t>4.15%</w:t>
            </w:r>
          </w:p>
        </w:tc>
      </w:tr>
      <w:tr>
        <w:tc>
          <w:tcPr>
            <w:tcW w:w="1700" w:type="dxa"/>
          </w:tcPr>
          <w:p>
            <w:r>
              <w:rPr/>
              <w:t>Campaign to Date</w:t>
            </w:r>
          </w:p>
        </w:tc>
        <w:tc>
          <w:tcPr>
            <w:tcW w:w="1700" w:type="dxa"/>
          </w:tcPr>
          <w:p>
            <w:r>
              <w:rPr/>
              <w:t>$3,505.37</w:t>
            </w:r>
          </w:p>
        </w:tc>
        <w:tc>
          <w:tcPr>
            <w:tcW w:w="1700" w:type="dxa"/>
          </w:tcPr>
          <w:p>
            <w:r>
              <w:rPr/>
              <w:t>123</w:t>
            </w:r>
          </w:p>
        </w:tc>
        <w:tc>
          <w:tcPr>
            <w:tcW w:w="1700" w:type="dxa"/>
          </w:tcPr>
          <w:p>
            <w:r>
              <w:rPr/>
              <w:t>63</w:t>
            </w:r>
          </w:p>
        </w:tc>
        <w:tc>
          <w:tcPr>
            <w:tcW w:w="1700" w:type="dxa"/>
          </w:tcPr>
          <w:p>
            <w:r>
              <w:rPr/>
              <w:t>51.22%</w:t>
            </w:r>
          </w:p>
        </w:tc>
        <w:tc>
          <w:tcPr>
            <w:tcW w:w="1700" w:type="dxa"/>
          </w:tcPr>
          <w:p>
            <w:r>
              <w:rPr/>
              <w:t>$28.50</w:t>
            </w:r>
          </w:p>
        </w:tc>
        <w:tc>
          <w:tcPr>
            <w:tcW w:w="1700" w:type="dxa"/>
          </w:tcPr>
          <w:p>
            <w:r>
              <w:rPr/>
              <w:t>4.68%</w:t>
            </w:r>
          </w:p>
        </w:tc>
      </w:tr>
    </w:tbl>
    <w:p>
      <w:pPr>
        <w:spacing w:before="260" w:after="120"/>
      </w:pPr>
      <w:r>
        <w:rPr>
          <w:b/>
          <w:sz w:val="24"/>
          <w:color w:val="1A1A2E"/>
        </w:rPr>
        <w:t>Top Brisbane Ads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Ad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Spend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Leads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CPL</w:t>
            </w:r>
          </w:p>
        </w:tc>
        <w:tc>
          <w:tcPr>
            <w:tcW w:w="1700" w:type="dxa"/>
            <w:shd w:fill="1A1A2E"/>
          </w:tcPr>
          <w:p>
            <w:r>
              <w:rPr>
                <w:b/>
                <w:color w:val="FFFFFF"/>
              </w:rPr>
              <w:t>CTR</w:t>
            </w:r>
          </w:p>
        </w:tc>
      </w:tr>
      <w:tr>
        <w:tc>
          <w:tcPr>
            <w:tcW w:w="1700" w:type="dxa"/>
          </w:tcPr>
          <w:p>
            <w:r>
              <w:rPr/>
              <w:t>BD-BNE TOF - 20260512-ROOT - 04 - km-BD-Reel-Ad-13-1080p-60f-20260503-080616</w:t>
            </w:r>
          </w:p>
        </w:tc>
        <w:tc>
          <w:tcPr>
            <w:tcW w:w="1700" w:type="dxa"/>
          </w:tcPr>
          <w:p>
            <w:r>
              <w:rPr/>
              <w:t>$3.34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$3.34</w:t>
            </w:r>
          </w:p>
        </w:tc>
        <w:tc>
          <w:tcPr>
            <w:tcW w:w="1700" w:type="dxa"/>
          </w:tcPr>
          <w:p>
            <w:r>
              <w:rPr/>
              <w:t>1.65%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DEC-29-2025 - copy_B9ECFAD4-F5C2-4F45-8561-0BD4477D7E0E</w:t>
            </w:r>
          </w:p>
        </w:tc>
        <w:tc>
          <w:tcPr>
            <w:tcW w:w="1700" w:type="dxa"/>
          </w:tcPr>
          <w:p>
            <w:r>
              <w:rPr/>
              <w:t>$30.17</w:t>
            </w:r>
          </w:p>
        </w:tc>
        <w:tc>
          <w:tcPr>
            <w:tcW w:w="1700" w:type="dxa"/>
          </w:tcPr>
          <w:p>
            <w:r>
              <w:rPr/>
              <w:t>2</w:t>
            </w:r>
          </w:p>
        </w:tc>
        <w:tc>
          <w:tcPr>
            <w:tcW w:w="1700" w:type="dxa"/>
          </w:tcPr>
          <w:p>
            <w:r>
              <w:rPr/>
              <w:t>$15.09</w:t>
            </w:r>
          </w:p>
        </w:tc>
        <w:tc>
          <w:tcPr>
            <w:tcW w:w="1700" w:type="dxa"/>
          </w:tcPr>
          <w:p>
            <w:r>
              <w:rPr/>
              <w:t>3.61%</w:t>
            </w:r>
          </w:p>
        </w:tc>
      </w:tr>
      <w:tr>
        <w:tc>
          <w:tcPr>
            <w:tcW w:w="1700" w:type="dxa"/>
          </w:tcPr>
          <w:p>
            <w:r>
              <w:rPr/>
              <w:t>BD-BNE TOF - Mar-5-26 - copy_779A87A3 - Ad4</w:t>
            </w:r>
          </w:p>
        </w:tc>
        <w:tc>
          <w:tcPr>
            <w:tcW w:w="1700" w:type="dxa"/>
          </w:tcPr>
          <w:p>
            <w:r>
              <w:rPr/>
              <w:t>$19.99</w:t>
            </w:r>
          </w:p>
        </w:tc>
        <w:tc>
          <w:tcPr>
            <w:tcW w:w="1700" w:type="dxa"/>
          </w:tcPr>
          <w:p>
            <w:r>
              <w:rPr/>
              <w:t>1</w:t>
            </w:r>
          </w:p>
        </w:tc>
        <w:tc>
          <w:tcPr>
            <w:tcW w:w="1700" w:type="dxa"/>
          </w:tcPr>
          <w:p>
            <w:r>
              <w:rPr/>
              <w:t>$19.99</w:t>
            </w:r>
          </w:p>
        </w:tc>
        <w:tc>
          <w:tcPr>
            <w:tcW w:w="1700" w:type="dxa"/>
          </w:tcPr>
          <w:p>
            <w:r>
              <w:rPr/>
              <w:t>2.79%</w:t>
            </w:r>
          </w:p>
        </w:tc>
      </w:tr>
      <w:tr>
        <w:tc>
          <w:tcPr>
            <w:tcW w:w="1700" w:type="dxa"/>
          </w:tcPr>
          <w:p>
            <w:r>
              <w:rPr/>
              <w:t>BD-BNE TOF - DEC-22-2025 - copy_9B8E5707-E50A-4DAD-94BB-138C32A34A9B</w:t>
            </w:r>
          </w:p>
        </w:tc>
        <w:tc>
          <w:tcPr>
            <w:tcW w:w="1700" w:type="dxa"/>
          </w:tcPr>
          <w:p>
            <w:r>
              <w:rPr/>
              <w:t>$377.16</w:t>
            </w:r>
          </w:p>
        </w:tc>
        <w:tc>
          <w:tcPr>
            <w:tcW w:w="1700" w:type="dxa"/>
          </w:tcPr>
          <w:p>
            <w:r>
              <w:rPr/>
              <w:t>16</w:t>
            </w:r>
          </w:p>
        </w:tc>
        <w:tc>
          <w:tcPr>
            <w:tcW w:w="1700" w:type="dxa"/>
          </w:tcPr>
          <w:p>
            <w:r>
              <w:rPr/>
              <w:t>$23.57</w:t>
            </w:r>
          </w:p>
        </w:tc>
        <w:tc>
          <w:tcPr>
            <w:tcW w:w="1700" w:type="dxa"/>
          </w:tcPr>
          <w:p>
            <w:r>
              <w:rPr/>
              <w:t>5.25%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boxdivvy-brisbane-drilldown-178212178506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