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6 April 2026 – 12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$22.89 across 24 purchases. Total ad spend for the period was $549.26 with an average CTR of 4.98%.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$549.26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$22.89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4.98%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$2,382.38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$26.47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4.01%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$8,124.20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...408311971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$6.68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$27.72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...408269971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...408308971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...408224971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...860842171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$0.90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24 purchases, $9.32 CPP, 4.72%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10 purchases, $16.19 CPP, 4.77%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10 purchases, $10.28 CPP, 5.67%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4.98% indicates highly engaging creative and strong audience targeting resonance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delivered 92% of total purchases with an outstanding $0.39 cost per purchase - 98% below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conversion volume with 24 purchases demonstrates healthy demand for NeedleFree products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generating significant traffic with 1,890 clicks, showing good audience interest and reach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at $22.89 is significantly elevated by underperforming ads - optimise budget allocation to reduce overall acquisition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performance gap between top performer ($0.39 CPA) and other ads ($0.76-$0.88) suggests creative and targeting optimisation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CTR but varied conversion performance indicates landing page or product page optimisation opportunities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Two lower-performing ads are consuming budget inefficiently - reallocate spend to scale the winning creative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the 22-12-2025 ad set by 150% whilst it maintains sub-$1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winning creative elements (copy, imagery, audience targeting) and create 2-3 similar variations to test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significantly reduce budget on ads with cost per purchase above $0.75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conversion tracking analysis to identify any checkout funnel drop-off points affecting the underperforming ads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