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20 April 2026 – 26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$23.81 across 23 purchases. Total ad spend for the period was $547.58 with an average CTR of 3.37%. The top performer achieved a CPP of $0.39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$547.58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$23.81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3.37%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$2,436.29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$18.18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4.29%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$9,228.06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627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$14.72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3.82%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$1.35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...803114971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Apr-16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$1.78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...802970571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$1.04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1.95%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6 conversions from 1 ad(s) – Best cost: $1.04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22 purchases, $10.66 CPP, 3.27%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20 purchases, $8.41 CPP, 2.86%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4 purchases, $20.66 CPP, 3.87%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(22-12-2025) - (5) is delivering exceptional performance with 22 purchases at only $0.39 cost per purchase and strong 2.65% CTR - significantly outperforming other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Overall CTR of 3.37% is well above industry benchmarks, indicating strong creative resonance and audience targeting effectiveness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generating consistent purchase volume with 23 conversions over 7 days, demonstrating good market demand for NeedleFree products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impression volume of 32,867 shows good reach and campaign scalability potential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disparity between top ad set ($0.39 CPA) and others ($0.76-$0.88 CPA) suggests budget reallocation could improve overall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Two underperforming ad sets show lower CTRs (1.13% and 0.85%) indicating creative or audience optimisation opportunities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Overall cost per purchase of $23.81 could be reduced by scaling the winning ad set and pausing or refreshing poor performers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Click-to-purchase conversion rate appears low based on 1,107 clicks generating only 23 purchases, suggesting landing page or checkout optimisation needed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ad set (22-12-2025) - (5) by 50-100% to capitalise on its superior $0.39 cost per purchase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the winning ad set's creative elements, audience targeting, and placement settings to replicate success in new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landing page and checkout flow analysis to improve the 2.1% click-to-purchase conversion rate through UX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Test new creative variations for underperforming ad sets or consider pausing them if performance doesn't improve within 48 hours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