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1333500" cy="247650"/>
            <wp:effectExtent t="0" r="0" b="0" l="0"/>
            <wp:docPr id="1" name="feisty-logo" descr="Feisty Agency Logo" title="Feis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333500" cy="247650"/>
                    </a:xfrm>
                    <a:prstGeom prst="rect">
                      <a:avLst/>
                    </a:prstGeom>
                  </pic:spPr>
                </pic:pic>
              </a:graphicData>
            </a:graphic>
          </wp:inline>
        </w:drawing>
      </w:r>
    </w:p>
    <w:p>
      <w:pPr>
        <w:pStyle w:val="Heading1"/>
        <w:spacing w:before="300" w:after="200"/>
      </w:pPr>
      <w:r>
        <w:rPr>
          <w:b/>
          <w:bCs/>
          <w:color w:val="1E293B"/>
          <w:sz w:val="44"/>
          <w:szCs w:val="44"/>
        </w:rPr>
        <w:t xml:space="preserve">Meta Ads Performance Audit</w:t>
      </w:r>
    </w:p>
    <w:p>
      <w:pPr>
        <w:spacing w:after="120"/>
      </w:pPr>
      <w:r>
        <w:rPr>
          <w:b/>
          <w:bCs/>
          <w:color w:val="475569"/>
          <w:sz w:val="22"/>
          <w:szCs w:val="22"/>
        </w:rPr>
        <w:t xml:space="preserve">Client: </w:t>
      </w:r>
      <w:r>
        <w:rPr>
          <w:color w:val="1E293B"/>
          <w:sz w:val="22"/>
          <w:szCs w:val="22"/>
        </w:rPr>
        <w:t xml:space="preserve">NeedleFree (Comfort-In)</w:t>
      </w:r>
    </w:p>
    <w:p>
      <w:pPr>
        <w:spacing w:after="120"/>
      </w:pPr>
      <w:r>
        <w:rPr>
          <w:b/>
          <w:bCs/>
          <w:color w:val="475569"/>
          <w:sz w:val="22"/>
          <w:szCs w:val="22"/>
        </w:rPr>
        <w:t xml:space="preserve">Campaign: </w:t>
      </w:r>
      <w:r>
        <w:rPr>
          <w:color w:val="1E293B"/>
          <w:sz w:val="22"/>
          <w:szCs w:val="22"/>
        </w:rPr>
        <w:t xml:space="preserve">PA - Sales - LP - All - CBO - 17.1</w:t>
      </w:r>
    </w:p>
    <w:p>
      <w:pPr>
        <w:spacing w:after="300"/>
      </w:pPr>
      <w:r>
        <w:rPr>
          <w:b/>
          <w:bCs/>
          <w:color w:val="475569"/>
          <w:sz w:val="22"/>
          <w:szCs w:val="22"/>
        </w:rPr>
        <w:t xml:space="preserve">Period: </w:t>
      </w:r>
      <w:r>
        <w:rPr>
          <w:color w:val="1E293B"/>
          <w:sz w:val="22"/>
          <w:szCs w:val="22"/>
        </w:rPr>
        <w:t xml:space="preserve">27 April 2026 – 3 May 2026</w:t>
      </w:r>
    </w:p>
    <w:p>
      <w:pPr>
        <w:pStyle w:val="Heading2"/>
        <w:spacing w:before="200" w:after="120"/>
      </w:pPr>
      <w:r>
        <w:rPr>
          <w:b/>
          <w:bCs/>
          <w:color w:val="1E293B"/>
          <w:sz w:val="28"/>
          <w:szCs w:val="28"/>
        </w:rPr>
        <w:t xml:space="preserve">Executive Summary</w:t>
      </w:r>
    </w:p>
    <w:p>
      <w:pPr>
        <w:spacing w:after="300"/>
      </w:pPr>
      <w:r>
        <w:rPr>
          <w:color w:val="475569"/>
          <w:sz w:val="22"/>
          <w:szCs w:val="22"/>
        </w:rPr>
        <w:t xml:space="preserve">The NeedleFree (Comfort-In) campaign is delivering solid results with a blended CPP of $16.96 across 33 purchases. Total ad spend for the period was $559.84 with an average CTR of 4.18%. The top performer achieved a CPP of $0.39 ((22-12-2025) - (5)). CTR is within healthy range for e-commerce campaigns.</w:t>
      </w:r>
    </w:p>
    <w:p>
      <w:pPr>
        <w:pStyle w:val="Heading2"/>
        <w:spacing w:before="200" w:after="120"/>
      </w:pPr>
      <w:r>
        <w:rPr>
          <w:b/>
          <w:bCs/>
          <w:color w:val="1E293B"/>
          <w:sz w:val="28"/>
          <w:szCs w:val="28"/>
        </w:rPr>
        <w:t xml:space="preserve">Key Metrics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1800"/>
        <w:gridCol w:w="1600"/>
        <w:gridCol w:w="1600"/>
        <w:gridCol w:w="1600"/>
      </w:tblGrid>
      <w:tr>
        <w:tc>
          <w:tcPr>
            <w:tcW w:type="dxa" w:w="22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Period</w:t>
            </w:r>
          </w:p>
        </w:tc>
        <w:tc>
          <w:tcPr>
            <w:tcW w:type="dxa" w:w="18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Spend</w:t>
            </w:r>
          </w:p>
        </w:tc>
        <w:tc>
          <w:tcPr>
            <w:tcW w:type="dxa" w:w="16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Purchases</w:t>
            </w:r>
          </w:p>
        </w:tc>
        <w:tc>
          <w:tcPr>
            <w:tcW w:type="dxa" w:w="16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CPP</w:t>
            </w:r>
          </w:p>
        </w:tc>
        <w:tc>
          <w:tcPr>
            <w:tcW w:type="dxa" w:w="16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CTR</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This Week</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E293B"/>
                <w:sz w:val="22"/>
                <w:szCs w:val="22"/>
              </w:rPr>
              <w:t xml:space="preserve">$559.84</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0B981"/>
                <w:sz w:val="22"/>
                <w:szCs w:val="22"/>
              </w:rPr>
              <w:t xml:space="preserve">33</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0B981"/>
                <w:sz w:val="22"/>
                <w:szCs w:val="22"/>
              </w:rPr>
              <w:t xml:space="preserve">$16.96</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E293B"/>
                <w:sz w:val="22"/>
                <w:szCs w:val="22"/>
              </w:rPr>
              <w:t xml:space="preserve">4.18%</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This Month</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2"/>
                <w:szCs w:val="22"/>
              </w:rPr>
              <w:t xml:space="preserve">$2,430.60</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0B981"/>
                <w:sz w:val="22"/>
                <w:szCs w:val="22"/>
              </w:rPr>
              <w:t xml:space="preserve">153</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0B981"/>
                <w:sz w:val="22"/>
                <w:szCs w:val="22"/>
              </w:rPr>
              <w:t xml:space="preserve">$15.89</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2"/>
                <w:szCs w:val="22"/>
              </w:rPr>
              <w:t xml:space="preserve">4.25%</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Since Starting</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E293B"/>
                <w:sz w:val="22"/>
                <w:szCs w:val="22"/>
              </w:rPr>
              <w:t xml:space="preserve">$9,787.94</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0B981"/>
                <w:sz w:val="22"/>
                <w:szCs w:val="22"/>
              </w:rPr>
              <w:t xml:space="preserve">660</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0B981"/>
                <w:sz w:val="22"/>
                <w:szCs w:val="22"/>
              </w:rPr>
              <w:t xml:space="preserve">$14.83</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E293B"/>
                <w:sz w:val="22"/>
                <w:szCs w:val="22"/>
              </w:rPr>
              <w:t xml:space="preserve">3.84%</w:t>
            </w:r>
          </w:p>
        </w:tc>
      </w:tr>
    </w:tbl>
    <w:p>
      <w:pPr>
        <w:spacing w:after="300"/>
      </w:pPr>
    </w:p>
    <w:p>
      <w:pPr>
        <w:pStyle w:val="Heading2"/>
        <w:spacing w:before="200" w:after="120"/>
      </w:pPr>
      <w:r>
        <w:rPr>
          <w:b/>
          <w:bCs/>
          <w:color w:val="1E293B"/>
          <w:sz w:val="28"/>
          <w:szCs w:val="28"/>
        </w:rPr>
        <w:t xml:space="preserve">Latest Batch — Top Metrics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500"/>
        <w:gridCol w:w="1300"/>
        <w:gridCol w:w="1400"/>
        <w:gridCol w:w="1400"/>
        <w:gridCol w:w="1400"/>
        <w:gridCol w:w="2360"/>
        <w:gridCol w:w="800"/>
      </w:tblGrid>
      <w:tr>
        <w:tc>
          <w:tcPr>
            <w:tcW w:type="dxa" w:w="5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13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Release Lot</w:t>
            </w:r>
          </w:p>
        </w:tc>
        <w:tc>
          <w:tcPr>
            <w:tcW w:type="dxa" w:w="14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Spend</w:t>
            </w:r>
          </w:p>
        </w:tc>
        <w:tc>
          <w:tcPr>
            <w:tcW w:type="dxa" w:w="14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CPM</w:t>
            </w:r>
          </w:p>
        </w:tc>
        <w:tc>
          <w:tcPr>
            <w:tcW w:type="dxa" w:w="14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CTR</w:t>
            </w:r>
          </w:p>
        </w:tc>
        <w:tc>
          <w:tcPr>
            <w:tcW w:type="dxa" w:w="236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 ID</w:t>
            </w:r>
          </w:p>
        </w:tc>
        <w:tc>
          <w:tcPr>
            <w:tcW w:type="dxa" w:w="8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Preview</w:t>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Apr-28</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$24.18</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$18.79</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1.94%</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...530221771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Apr-28</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$5.84</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$23.64</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0.81%</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...530243571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Apr-28</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$5.02</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$22.92</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5.48%</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...512115771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Apr-28</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$4.29</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$22.34</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1.04%</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...512085571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Apr-28</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$3.28</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$16.99</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1.55%</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...512049371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bl>
    <w:p>
      <w:pPr>
        <w:spacing w:after="300"/>
      </w:pPr>
    </w:p>
    <w:p>
      <w:pPr>
        <w:pStyle w:val="Heading2"/>
        <w:spacing w:before="200" w:after="120"/>
      </w:pPr>
      <w:r>
        <w:rPr>
          <w:b/>
          <w:bCs/>
          <w:color w:val="1E293B"/>
          <w:sz w:val="28"/>
          <w:szCs w:val="28"/>
        </w:rPr>
        <w:t xml:space="preserve">Top 5 Performers by CPP — All Time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500"/>
        <w:gridCol w:w="1300"/>
        <w:gridCol w:w="1400"/>
        <w:gridCol w:w="1400"/>
        <w:gridCol w:w="1400"/>
        <w:gridCol w:w="2360"/>
        <w:gridCol w:w="800"/>
      </w:tblGrid>
      <w:tr>
        <w:tc>
          <w:tcPr>
            <w:tcW w:type="dxa" w:w="5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13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Release Lot</w:t>
            </w:r>
          </w:p>
        </w:tc>
        <w:tc>
          <w:tcPr>
            <w:tcW w:type="dxa" w:w="14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CPP</w:t>
            </w:r>
          </w:p>
        </w:tc>
        <w:tc>
          <w:tcPr>
            <w:tcW w:type="dxa" w:w="14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Purchases</w:t>
            </w:r>
          </w:p>
        </w:tc>
        <w:tc>
          <w:tcPr>
            <w:tcW w:type="dxa" w:w="14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CTR</w:t>
            </w:r>
          </w:p>
        </w:tc>
        <w:tc>
          <w:tcPr>
            <w:tcW w:type="dxa" w:w="236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 ID</w:t>
            </w:r>
          </w:p>
        </w:tc>
        <w:tc>
          <w:tcPr>
            <w:tcW w:type="dxa" w:w="8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Preview</w:t>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Dec-22</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$0.39</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22</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2.65%</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...434619171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Jan-20</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$0.76</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1.13%</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...245221971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Feb-18</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$0.87</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0.88%</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...620572971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Feb-10</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$0.88</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0.85%</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...790733771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Jan-7</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$1.19</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1.99%</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...925871771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bl>
    <w:p>
      <w:pPr>
        <w:spacing w:before="100" w:after="300"/>
      </w:pPr>
      <w:r>
        <w:rPr>
          <w:i/>
          <w:iCs/>
          <w:color w:val="475569"/>
          <w:sz w:val="18"/>
          <w:szCs w:val="18"/>
        </w:rPr>
        <w:t xml:space="preserve">🔥 = Top performer | ⭐ = Volume star | Sorted by cost per conversion (lowest first)</w:t>
      </w:r>
    </w:p>
    <w:p>
      <w:pPr>
        <w:pStyle w:val="Heading2"/>
        <w:spacing w:before="200" w:after="120"/>
      </w:pPr>
      <w:r>
        <w:rPr>
          <w:b/>
          <w:bCs/>
          <w:color w:val="1E293B"/>
          <w:sz w:val="28"/>
          <w:szCs w:val="28"/>
        </w:rPr>
        <w:t xml:space="preserve">Release Lot Performance</w:t>
      </w:r>
    </w:p>
    <w:p>
      <w:pPr>
        <w:spacing w:after="80"/>
      </w:pPr>
      <w:r>
        <w:rPr>
          <w:b/>
          <w:bCs/>
          <w:color w:val="1E293B"/>
          <w:sz w:val="22"/>
          <w:szCs w:val="22"/>
        </w:rPr>
        <w:t xml:space="preserve">• Dec-22 Release: </w:t>
      </w:r>
      <w:r>
        <w:rPr>
          <w:color w:val="475569"/>
          <w:sz w:val="22"/>
          <w:szCs w:val="22"/>
        </w:rPr>
        <w:t xml:space="preserve">22 conversions from 1 ad(s) – Best cost: $0.39</w:t>
      </w:r>
    </w:p>
    <w:p>
      <w:pPr>
        <w:spacing w:after="80"/>
      </w:pPr>
      <w:r>
        <w:rPr>
          <w:b/>
          <w:bCs/>
          <w:color w:val="1E293B"/>
          <w:sz w:val="22"/>
          <w:szCs w:val="22"/>
        </w:rPr>
        <w:t xml:space="preserve">• Jan-20 Release: </w:t>
      </w:r>
      <w:r>
        <w:rPr>
          <w:color w:val="475569"/>
          <w:sz w:val="22"/>
          <w:szCs w:val="22"/>
        </w:rPr>
        <w:t xml:space="preserve">4 conversions from 1 ad(s) – Best cost: $0.76</w:t>
      </w:r>
    </w:p>
    <w:p>
      <w:pPr>
        <w:spacing w:after="80"/>
      </w:pPr>
      <w:r>
        <w:rPr>
          <w:b/>
          <w:bCs/>
          <w:color w:val="1E293B"/>
          <w:sz w:val="22"/>
          <w:szCs w:val="22"/>
        </w:rPr>
        <w:t xml:space="preserve">• Feb-18 Release: </w:t>
      </w:r>
      <w:r>
        <w:rPr>
          <w:color w:val="475569"/>
          <w:sz w:val="22"/>
          <w:szCs w:val="22"/>
        </w:rPr>
        <w:t xml:space="preserve">6 conversions from 1 ad(s) – Best cost: $0.87</w:t>
      </w:r>
    </w:p>
    <w:p>
      <w:pPr>
        <w:spacing w:after="80"/>
      </w:pPr>
      <w:r>
        <w:rPr>
          <w:b/>
          <w:bCs/>
          <w:color w:val="1E293B"/>
          <w:sz w:val="22"/>
          <w:szCs w:val="22"/>
        </w:rPr>
        <w:t xml:space="preserve">• Feb-10 Release: </w:t>
      </w:r>
      <w:r>
        <w:rPr>
          <w:color w:val="475569"/>
          <w:sz w:val="22"/>
          <w:szCs w:val="22"/>
        </w:rPr>
        <w:t xml:space="preserve">6 conversions from 1 ad(s) – Best cost: $0.88</w:t>
      </w:r>
    </w:p>
    <w:p>
      <w:pPr>
        <w:spacing w:after="80"/>
      </w:pPr>
      <w:r>
        <w:rPr>
          <w:b/>
          <w:bCs/>
          <w:color w:val="1E293B"/>
          <w:sz w:val="22"/>
          <w:szCs w:val="22"/>
        </w:rPr>
        <w:t xml:space="preserve">• Jan-07 Release: </w:t>
      </w:r>
      <w:r>
        <w:rPr>
          <w:color w:val="475569"/>
          <w:sz w:val="22"/>
          <w:szCs w:val="22"/>
        </w:rPr>
        <w:t xml:space="preserve">6 conversions from 1 ad(s) – Best cost: $1.19</w:t>
      </w:r>
    </w:p>
    <w:p>
      <w:pPr>
        <w:spacing w:after="200"/>
      </w:pPr>
    </w:p>
    <w:p>
      <w:pPr>
        <w:pStyle w:val="Heading2"/>
        <w:spacing w:before="200" w:after="120"/>
      </w:pPr>
      <w:r>
        <w:rPr>
          <w:b/>
          <w:bCs/>
          <w:color w:val="1E293B"/>
          <w:sz w:val="28"/>
          <w:szCs w:val="28"/>
        </w:rPr>
        <w:t xml:space="preserve">Creative Insights</w:t>
      </w:r>
    </w:p>
    <w:p>
      <w:pPr>
        <w:spacing w:after="40"/>
      </w:pPr>
      <w:r>
        <w:rPr>
          <w:b/>
          <w:bCs/>
          <w:color w:val="1E293B"/>
          <w:sz w:val="22"/>
          <w:szCs w:val="22"/>
        </w:rPr>
        <w:t xml:space="preserve">Top Performer:</w:t>
      </w:r>
    </w:p>
    <w:p>
      <w:pPr>
        <w:spacing w:after="120"/>
      </w:pPr>
      <w:r>
        <w:rPr>
          <w:color w:val="475569"/>
          <w:sz w:val="22"/>
          <w:szCs w:val="22"/>
        </w:rPr>
        <w:t xml:space="preserve">(22-12-2025) - (5) – 22 conversions at $0.39 cost, 2.65% CTR</w:t>
      </w:r>
    </w:p>
    <w:p>
      <w:pPr>
        <w:spacing w:after="40"/>
      </w:pPr>
      <w:r>
        <w:rPr>
          <w:b/>
          <w:bCs/>
          <w:color w:val="1E293B"/>
          <w:sz w:val="22"/>
          <w:szCs w:val="22"/>
        </w:rPr>
        <w:t xml:space="preserve">Runner Up:</w:t>
      </w:r>
    </w:p>
    <w:p>
      <w:pPr>
        <w:spacing w:after="120"/>
      </w:pPr>
      <w:r>
        <w:rPr>
          <w:color w:val="475569"/>
          <w:sz w:val="22"/>
          <w:szCs w:val="22"/>
        </w:rPr>
        <w:t xml:space="preserve">(20-01-2026) - (3) – 4 conversions at $0.76 cost, 1.13% CTR</w:t>
      </w:r>
    </w:p>
    <w:p>
      <w:pPr>
        <w:spacing w:after="200"/>
      </w:pPr>
    </w:p>
    <w:p>
      <w:pPr>
        <w:pStyle w:val="Heading2"/>
        <w:spacing w:before="200" w:after="120"/>
      </w:pPr>
      <w:r>
        <w:rPr>
          <w:b/>
          <w:bCs/>
          <w:color w:val="1E293B"/>
          <w:sz w:val="28"/>
          <w:szCs w:val="28"/>
        </w:rPr>
        <w:t xml:space="preserve">Demographic Sweet Spot</w:t>
      </w:r>
    </w:p>
    <w:p>
      <w:pPr>
        <w:spacing w:after="80"/>
      </w:pPr>
      <w:r>
        <w:rPr>
          <w:b/>
          <w:bCs/>
          <w:color w:val="1E293B"/>
          <w:sz w:val="22"/>
          <w:szCs w:val="22"/>
        </w:rPr>
        <w:t xml:space="preserve">• Male 35-44: </w:t>
      </w:r>
      <w:r>
        <w:rPr>
          <w:color w:val="475569"/>
          <w:sz w:val="22"/>
          <w:szCs w:val="22"/>
        </w:rPr>
        <w:t xml:space="preserve">36 purchases, $6.53 CPP, 4.17% CTR</w:t>
      </w:r>
    </w:p>
    <w:p>
      <w:pPr>
        <w:spacing w:after="80"/>
      </w:pPr>
      <w:r>
        <w:rPr>
          <w:b/>
          <w:bCs/>
          <w:color w:val="1E293B"/>
          <w:sz w:val="22"/>
          <w:szCs w:val="22"/>
        </w:rPr>
        <w:t xml:space="preserve">• Male 65+: </w:t>
      </w:r>
      <w:r>
        <w:rPr>
          <w:color w:val="475569"/>
          <w:sz w:val="22"/>
          <w:szCs w:val="22"/>
        </w:rPr>
        <w:t xml:space="preserve">12 purchases, $0.32 CPP, 3.51% CTR</w:t>
      </w:r>
    </w:p>
    <w:p>
      <w:pPr>
        <w:spacing w:after="80"/>
      </w:pPr>
      <w:r>
        <w:rPr>
          <w:b/>
          <w:bCs/>
          <w:color w:val="1E293B"/>
          <w:sz w:val="22"/>
          <w:szCs w:val="22"/>
        </w:rPr>
        <w:t xml:space="preserve">• Male 25-34: </w:t>
      </w:r>
      <w:r>
        <w:rPr>
          <w:color w:val="475569"/>
          <w:sz w:val="22"/>
          <w:szCs w:val="22"/>
        </w:rPr>
        <w:t xml:space="preserve">10 purchases, $18.58 CPP, 3.67% CTR</w:t>
      </w:r>
    </w:p>
    <w:p>
      <w:pPr>
        <w:spacing w:after="200"/>
      </w:pPr>
    </w:p>
    <w:p>
      <w:pPr>
        <w:pStyle w:val="Heading2"/>
        <w:spacing w:before="200" w:after="120"/>
      </w:pPr>
      <w:r>
        <w:rPr>
          <w:b/>
          <w:bCs/>
          <w:color w:val="1E293B"/>
          <w:sz w:val="28"/>
          <w:szCs w:val="28"/>
        </w:rPr>
        <w:t xml:space="preserve">Key Insights</w:t>
      </w:r>
    </w:p>
    <w:p>
      <w:pPr>
        <w:spacing w:after="80"/>
      </w:pPr>
      <w:r>
        <w:rPr>
          <w:b/>
          <w:bCs/>
          <w:color w:val="10B981"/>
          <w:sz w:val="24"/>
          <w:szCs w:val="24"/>
        </w:rPr>
        <w:t xml:space="preserve">What's Working:</w:t>
      </w:r>
    </w:p>
    <w:p>
      <w:pPr>
        <w:spacing w:after="80"/>
      </w:pPr>
      <w:r>
        <w:rPr>
          <w:color w:val="475569"/>
          <w:sz w:val="22"/>
          <w:szCs w:val="22"/>
        </w:rPr>
        <w:t xml:space="preserve">✓ 33 purchases generated from $559.84 spend</w:t>
      </w:r>
    </w:p>
    <w:p>
      <w:pPr>
        <w:spacing w:after="80"/>
      </w:pPr>
      <w:r>
        <w:rPr>
          <w:color w:val="475569"/>
          <w:sz w:val="22"/>
          <w:szCs w:val="22"/>
        </w:rPr>
        <w:t xml:space="preserve">✓ CTR of 4.18% indicates strong ad relevance</w:t>
      </w:r>
    </w:p>
    <w:p>
      <w:pPr>
        <w:spacing w:after="80"/>
      </w:pPr>
      <w:r>
        <w:rPr>
          <w:color w:val="475569"/>
          <w:sz w:val="22"/>
          <w:szCs w:val="22"/>
        </w:rPr>
        <w:t xml:space="preserve">✓ Cost per purchase of $16.96 is within viable range</w:t>
      </w:r>
    </w:p>
    <w:p>
      <w:pPr>
        <w:spacing w:after="80"/>
      </w:pPr>
      <w:r>
        <w:rPr>
          <w:color w:val="475569"/>
          <w:sz w:val="22"/>
          <w:szCs w:val="22"/>
        </w:rPr>
        <w:t xml:space="preserve">✓ Top performer "(22-12-2025) - (5)" driving 22 purchases</w:t>
      </w:r>
    </w:p>
    <w:p>
      <w:pPr>
        <w:spacing w:after="120"/>
      </w:pPr>
    </w:p>
    <w:p>
      <w:pPr>
        <w:spacing w:after="80"/>
      </w:pPr>
      <w:r>
        <w:rPr>
          <w:b/>
          <w:bCs/>
          <w:color w:val="1E293B"/>
          <w:sz w:val="24"/>
          <w:szCs w:val="24"/>
        </w:rPr>
        <w:t xml:space="preserve">Opportunities:</w:t>
      </w:r>
    </w:p>
    <w:p>
      <w:pPr>
        <w:spacing w:after="80"/>
      </w:pPr>
      <w:r>
        <w:rPr>
          <w:color w:val="475569"/>
          <w:sz w:val="22"/>
          <w:szCs w:val="22"/>
        </w:rPr>
        <w:t xml:space="preserve">→ Reduce CPL by pausing ads with CTR below 4.2% average</w:t>
      </w:r>
    </w:p>
    <w:p>
      <w:pPr>
        <w:spacing w:after="80"/>
      </w:pPr>
      <w:r>
        <w:rPr>
          <w:color w:val="475569"/>
          <w:sz w:val="22"/>
          <w:szCs w:val="22"/>
        </w:rPr>
        <w:t xml:space="preserve">→ Scale spend on winning ad creatives to increase volume</w:t>
      </w:r>
    </w:p>
    <w:p>
      <w:pPr>
        <w:spacing w:after="80"/>
      </w:pPr>
      <w:r>
        <w:rPr>
          <w:color w:val="475569"/>
          <w:sz w:val="22"/>
          <w:szCs w:val="22"/>
        </w:rPr>
        <w:t xml:space="preserve">→ Create new ad variations based on top-performing creative patterns</w:t>
      </w:r>
    </w:p>
    <w:p>
      <w:pPr>
        <w:spacing w:after="80"/>
      </w:pPr>
      <w:r>
        <w:rPr>
          <w:color w:val="475569"/>
          <w:sz w:val="22"/>
          <w:szCs w:val="22"/>
        </w:rPr>
        <w:t xml:space="preserve">→ Expand audience targeting based on demographic insights</w:t>
      </w:r>
    </w:p>
    <w:p>
      <w:pPr>
        <w:spacing w:after="200"/>
      </w:pPr>
    </w:p>
    <w:p>
      <w:pPr>
        <w:pStyle w:val="Heading2"/>
        <w:spacing w:before="200" w:after="120"/>
      </w:pPr>
      <w:r>
        <w:rPr>
          <w:b/>
          <w:bCs/>
          <w:color w:val="1E293B"/>
          <w:sz w:val="28"/>
          <w:szCs w:val="28"/>
        </w:rPr>
        <w:t xml:space="preserve">Recommended Next Steps</w:t>
      </w:r>
    </w:p>
    <w:p>
      <w:pPr>
        <w:spacing w:after="80"/>
      </w:pPr>
      <w:r>
        <w:rPr>
          <w:color w:val="475569"/>
          <w:sz w:val="22"/>
          <w:szCs w:val="22"/>
        </w:rPr>
        <w:t xml:space="preserve">▸ Increase budget on top 2 performers by 20-30%</w:t>
      </w:r>
    </w:p>
    <w:p>
      <w:pPr>
        <w:spacing w:after="80"/>
      </w:pPr>
      <w:r>
        <w:rPr>
          <w:color w:val="475569"/>
          <w:sz w:val="22"/>
          <w:szCs w:val="22"/>
        </w:rPr>
        <w:t xml:space="preserve">▸ Review underperforming ads and pause or refresh creative</w:t>
      </w:r>
    </w:p>
    <w:p>
      <w:pPr>
        <w:spacing w:after="80"/>
      </w:pPr>
      <w:r>
        <w:rPr>
          <w:color w:val="475569"/>
          <w:sz w:val="22"/>
          <w:szCs w:val="22"/>
        </w:rPr>
        <w:t xml:space="preserve">▸ Set up A/B experiment for new headline or creative variation</w:t>
      </w:r>
    </w:p>
    <w:p>
      <w:pPr>
        <w:spacing w:after="80"/>
      </w:pPr>
      <w:r>
        <w:rPr>
          <w:color w:val="475569"/>
          <w:sz w:val="22"/>
          <w:szCs w:val="22"/>
        </w:rPr>
        <w:t xml:space="preserve">▸ Monitor frequency caps to avoid ad fatigue</w:t>
      </w:r>
    </w:p>
    <w:p>
      <w:pPr>
        <w:spacing w:after="300"/>
      </w:pPr>
    </w:p>
    <w:p>
      <w:pPr>
        <w:jc w:val="center"/>
      </w:pPr>
      <w:r>
        <w:drawing>
          <wp:inline distT="0" distB="0" distL="0" distR="0">
            <wp:extent cx="5524500" cy="68580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4500" cy="6858000"/>
                    </a:xfrm>
                    <a:prstGeom prst="rect">
                      <a:avLst/>
                    </a:prstGeom>
                    <a:noFill/>
                    <a:ln>
                      <a:noFill/>
                    </a:ln>
                  </pic:spPr>
                </pic:pic>
              </a:graphicData>
            </a:graphic>
          </wp:inline>
        </w:drawing>
      </w:r>
    </w:p>
    <w:p>
      <w:pPr>
        <w:spacing w:after="300"/>
      </w:pPr>
    </w:p>
    <w:p>
      <w:pPr>
        <w:spacing w:before="300"/>
        <w:jc w:val="center"/>
      </w:pPr>
      <w:r>
        <w:rPr>
          <w:i/>
          <w:iCs/>
          <w:color w:val="475569"/>
          <w:sz w:val="22"/>
          <w:szCs w:val="22"/>
        </w:rPr>
        <w:t xml:space="preserve">Questions? Let's chat about scaling these results.</w:t>
      </w:r>
    </w:p>
    <w:p>
      <w:pPr>
        <w:spacing w:before="360" w:after="120"/>
      </w:pPr>
      <w:r>
        <w:rPr>
          <w:b/>
          <w:sz w:val="28"/>
          <w:color w:val="1A1A2E"/>
        </w:rPr>
        <w:t>E-Commerce Purchase Funnel</w:t>
      </w:r>
    </w:p>
    <w:p>
      <w:r>
        <w:rPr>
          <w:sz w:val="20"/>
          <w:color w:val="64748B"/>
        </w:rPr>
        <w:t>Meta Pixel events: Add to Cart → Initiate Checkout → Purchase. Conversion rates show funnel efficiency at each stage.</w:t>
      </w:r>
    </w:p>
    <w:tbl>
      <w:tblPr>
        <w:tblW w:w="0" w:type="auto"/>
        <w:tblBorders>
          <w:top w:val="single" w:sz="4"/>
          <w:left w:val="single" w:sz="4"/>
          <w:bottom w:val="single" w:sz="4"/>
          <w:right w:val="single" w:sz="4"/>
          <w:insideH w:val="single" w:sz="4"/>
          <w:insideV w:val="single" w:sz="4"/>
        </w:tblBorders>
      </w:tblPr>
      <w:tr>
        <w:tc>
          <w:tcPr>
            <w:tcW w:w="1700" w:type="dxa"/>
            <w:shd w:fill="1A1A2E"/>
          </w:tcPr>
          <w:p>
            <w:r>
              <w:rPr>
                <w:b/>
                <w:color w:val="FFFFFF"/>
              </w:rPr>
              <w:t>Period</w:t>
            </w:r>
          </w:p>
        </w:tc>
        <w:tc>
          <w:tcPr>
            <w:tcW w:w="1700" w:type="dxa"/>
            <w:shd w:fill="1A1A2E"/>
          </w:tcPr>
          <w:p>
            <w:r>
              <w:rPr>
                <w:b/>
                <w:color w:val="FFFFFF"/>
              </w:rPr>
              <w:t>Add to Cart</w:t>
            </w:r>
          </w:p>
        </w:tc>
        <w:tc>
          <w:tcPr>
            <w:tcW w:w="1700" w:type="dxa"/>
            <w:shd w:fill="1A1A2E"/>
          </w:tcPr>
          <w:p>
            <w:r>
              <w:rPr>
                <w:b/>
                <w:color w:val="FFFFFF"/>
              </w:rPr>
              <w:t>Checkout</w:t>
            </w:r>
          </w:p>
        </w:tc>
        <w:tc>
          <w:tcPr>
            <w:tcW w:w="1700" w:type="dxa"/>
            <w:shd w:fill="1A1A2E"/>
          </w:tcPr>
          <w:p>
            <w:r>
              <w:rPr>
                <w:b/>
                <w:color w:val="FFFFFF"/>
              </w:rPr>
              <w:t>Purchase</w:t>
            </w:r>
          </w:p>
        </w:tc>
        <w:tc>
          <w:tcPr>
            <w:tcW w:w="1700" w:type="dxa"/>
            <w:shd w:fill="1A1A2E"/>
          </w:tcPr>
          <w:p>
            <w:r>
              <w:rPr>
                <w:b/>
                <w:color w:val="FFFFFF"/>
              </w:rPr>
              <w:t>ATC→Chkout</w:t>
            </w:r>
          </w:p>
        </w:tc>
        <w:tc>
          <w:tcPr>
            <w:tcW w:w="1700" w:type="dxa"/>
            <w:shd w:fill="1A1A2E"/>
          </w:tcPr>
          <w:p>
            <w:r>
              <w:rPr>
                <w:b/>
                <w:color w:val="FFFFFF"/>
              </w:rPr>
              <w:t>ATC→Purchase</w:t>
            </w:r>
          </w:p>
        </w:tc>
      </w:tr>
      <w:tr>
        <w:tc>
          <w:tcPr>
            <w:tcW w:w="1700" w:type="dxa"/>
          </w:tcPr>
          <w:p>
            <w:r>
              <w:rPr/>
              <w:t>This Week</w:t>
            </w:r>
          </w:p>
        </w:tc>
        <w:tc>
          <w:tcPr>
            <w:tcW w:w="1700" w:type="dxa"/>
          </w:tcPr>
          <w:p>
            <w:r>
              <w:rPr/>
              <w:t>191</w:t>
            </w:r>
          </w:p>
        </w:tc>
        <w:tc>
          <w:tcPr>
            <w:tcW w:w="1700" w:type="dxa"/>
          </w:tcPr>
          <w:p>
            <w:r>
              <w:rPr/>
              <w:t>32</w:t>
            </w:r>
          </w:p>
        </w:tc>
        <w:tc>
          <w:tcPr>
            <w:tcW w:w="1700" w:type="dxa"/>
          </w:tcPr>
          <w:p>
            <w:r>
              <w:rPr/>
              <w:t>33</w:t>
            </w:r>
          </w:p>
        </w:tc>
        <w:tc>
          <w:tcPr>
            <w:tcW w:w="1700" w:type="dxa"/>
          </w:tcPr>
          <w:p>
            <w:r>
              <w:rPr/>
              <w:t>16.75%</w:t>
            </w:r>
          </w:p>
        </w:tc>
        <w:tc>
          <w:tcPr>
            <w:tcW w:w="1700" w:type="dxa"/>
          </w:tcPr>
          <w:p>
            <w:r>
              <w:rPr/>
              <w:t>17.28%</w:t>
            </w:r>
          </w:p>
        </w:tc>
      </w:tr>
      <w:tr>
        <w:tc>
          <w:tcPr>
            <w:tcW w:w="1700" w:type="dxa"/>
          </w:tcPr>
          <w:p>
            <w:r>
              <w:rPr/>
              <w:t>Last 30 Days</w:t>
            </w:r>
          </w:p>
        </w:tc>
        <w:tc>
          <w:tcPr>
            <w:tcW w:w="1700" w:type="dxa"/>
          </w:tcPr>
          <w:p>
            <w:r>
              <w:rPr/>
              <w:t>798</w:t>
            </w:r>
          </w:p>
        </w:tc>
        <w:tc>
          <w:tcPr>
            <w:tcW w:w="1700" w:type="dxa"/>
          </w:tcPr>
          <w:p>
            <w:r>
              <w:rPr/>
              <w:t>161</w:t>
            </w:r>
          </w:p>
        </w:tc>
        <w:tc>
          <w:tcPr>
            <w:tcW w:w="1700" w:type="dxa"/>
          </w:tcPr>
          <w:p>
            <w:r>
              <w:rPr/>
              <w:t>153</w:t>
            </w:r>
          </w:p>
        </w:tc>
        <w:tc>
          <w:tcPr>
            <w:tcW w:w="1700" w:type="dxa"/>
          </w:tcPr>
          <w:p>
            <w:r>
              <w:rPr/>
              <w:t>20.18%</w:t>
            </w:r>
          </w:p>
        </w:tc>
        <w:tc>
          <w:tcPr>
            <w:tcW w:w="1700" w:type="dxa"/>
          </w:tcPr>
          <w:p>
            <w:r>
              <w:rPr/>
              <w:t>19.17%</w:t>
            </w:r>
          </w:p>
        </w:tc>
      </w:tr>
      <w:tr>
        <w:tc>
          <w:tcPr>
            <w:tcW w:w="1700" w:type="dxa"/>
          </w:tcPr>
          <w:p>
            <w:r>
              <w:rPr/>
              <w:t>Campaign to Date</w:t>
            </w:r>
          </w:p>
        </w:tc>
        <w:tc>
          <w:tcPr>
            <w:tcW w:w="1700" w:type="dxa"/>
          </w:tcPr>
          <w:p>
            <w:r>
              <w:rPr/>
              <w:t>3551</w:t>
            </w:r>
          </w:p>
        </w:tc>
        <w:tc>
          <w:tcPr>
            <w:tcW w:w="1700" w:type="dxa"/>
          </w:tcPr>
          <w:p>
            <w:r>
              <w:rPr/>
              <w:t>899</w:t>
            </w:r>
          </w:p>
        </w:tc>
        <w:tc>
          <w:tcPr>
            <w:tcW w:w="1700" w:type="dxa"/>
          </w:tcPr>
          <w:p>
            <w:r>
              <w:rPr/>
              <w:t>660</w:t>
            </w:r>
          </w:p>
        </w:tc>
        <w:tc>
          <w:tcPr>
            <w:tcW w:w="1700" w:type="dxa"/>
          </w:tcPr>
          <w:p>
            <w:r>
              <w:rPr/>
              <w:t>25.32%</w:t>
            </w:r>
          </w:p>
        </w:tc>
        <w:tc>
          <w:tcPr>
            <w:tcW w:w="1700" w:type="dxa"/>
          </w:tcPr>
          <w:p>
            <w:r>
              <w:rPr/>
              <w:t>18.59%</w:t>
            </w:r>
          </w:p>
        </w:tc>
      </w:tr>
    </w:tbl>
    <w:p>
      <w:r>
        <w:rPr>
          <w:sz w:val="18"/>
          <w:color w:val="64748B"/>
        </w:rPr>
        <w:t>Note: Purchase count exceeds Checkout because Meta attributes some purchases to ad clicks across sessions (e.g., return visitors who checked out earlier or purchased directly), even when no Initiate Checkout event fired for that session.</w:t>
      </w:r>
    </w:p>
    <w:p>
      <w:pPr>
        <w:spacing w:before="360" w:after="120"/>
      </w:pPr>
      <w:r>
        <w:rPr>
          <w:b/>
          <w:sz w:val="28"/>
          <w:color w:val="1A1A2E"/>
        </w:rPr>
        <w:t>Purchase Funnel — Add to Cart → Checkout → Purchase</w:t>
      </w:r>
    </w:p>
    <w:p>
      <w:r>
        <w:rPr>
          <w:sz w:val="20"/>
          <w:color w:val="64748B"/>
        </w:rPr>
        <w:t>Meta Pixel events showing the full e-commerce purchase journey. ATC → Checkout rate and Checkout → Purchase rate indicate funnel health.</w:t>
      </w:r>
    </w:p>
    <w:tbl>
      <w:tblPr>
        <w:tblW w:w="0" w:type="auto"/>
        <w:tblBorders>
          <w:top w:val="single" w:sz="4"/>
          <w:left w:val="single" w:sz="4"/>
          <w:bottom w:val="single" w:sz="4"/>
          <w:right w:val="single" w:sz="4"/>
          <w:insideH w:val="single" w:sz="4"/>
          <w:insideV w:val="single" w:sz="4"/>
        </w:tblBorders>
      </w:tblPr>
      <w:tr>
        <w:tc>
          <w:tcPr>
            <w:tcW w:w="1700" w:type="dxa"/>
            <w:shd w:fill="1A1A2E"/>
          </w:tcPr>
          <w:p>
            <w:r>
              <w:rPr>
                <w:b/>
                <w:color w:val="FFFFFF"/>
              </w:rPr>
              <w:t>Stage</w:t>
            </w:r>
          </w:p>
        </w:tc>
        <w:tc>
          <w:tcPr>
            <w:tcW w:w="1700" w:type="dxa"/>
            <w:shd w:fill="1A1A2E"/>
          </w:tcPr>
          <w:p>
            <w:r>
              <w:rPr>
                <w:b/>
                <w:color w:val="FFFFFF"/>
              </w:rPr>
              <w:t>This Week</w:t>
            </w:r>
          </w:p>
        </w:tc>
        <w:tc>
          <w:tcPr>
            <w:tcW w:w="1700" w:type="dxa"/>
            <w:shd w:fill="1A1A2E"/>
          </w:tcPr>
          <w:p>
            <w:r>
              <w:rPr>
                <w:b/>
                <w:color w:val="FFFFFF"/>
              </w:rPr>
              <w:t>ATC→Checkout</w:t>
            </w:r>
          </w:p>
        </w:tc>
        <w:tc>
          <w:tcPr>
            <w:tcW w:w="1700" w:type="dxa"/>
            <w:shd w:fill="1A1A2E"/>
          </w:tcPr>
          <w:p>
            <w:r>
              <w:rPr>
                <w:b/>
                <w:color w:val="FFFFFF"/>
              </w:rPr>
              <w:t>Checkout→Purchase</w:t>
            </w:r>
          </w:p>
        </w:tc>
      </w:tr>
      <w:tr>
        <w:tc>
          <w:tcPr>
            <w:tcW w:w="1700" w:type="dxa"/>
          </w:tcPr>
          <w:p>
            <w:r>
              <w:rPr/>
              <w:t>Add to Cart</w:t>
            </w:r>
          </w:p>
        </w:tc>
        <w:tc>
          <w:tcPr>
            <w:tcW w:w="1700" w:type="dxa"/>
          </w:tcPr>
          <w:p>
            <w:r>
              <w:rPr/>
              <w:t>191</w:t>
            </w:r>
          </w:p>
        </w:tc>
        <w:tc>
          <w:tcPr>
            <w:tcW w:w="1700" w:type="dxa"/>
          </w:tcPr>
          <w:p>
            <w:r>
              <w:rPr/>
              <w:t>16.8%</w:t>
            </w:r>
          </w:p>
        </w:tc>
        <w:tc>
          <w:tcPr>
            <w:tcW w:w="1700" w:type="dxa"/>
          </w:tcPr>
          <w:p>
            <w:r>
              <w:rPr/>
              <w:t>—</w:t>
            </w:r>
          </w:p>
        </w:tc>
      </w:tr>
      <w:tr>
        <w:tc>
          <w:tcPr>
            <w:tcW w:w="1700" w:type="dxa"/>
          </w:tcPr>
          <w:p>
            <w:r>
              <w:rPr/>
              <w:t>Checkout</w:t>
            </w:r>
          </w:p>
        </w:tc>
        <w:tc>
          <w:tcPr>
            <w:tcW w:w="1700" w:type="dxa"/>
          </w:tcPr>
          <w:p>
            <w:r>
              <w:rPr/>
              <w:t>32</w:t>
            </w:r>
          </w:p>
        </w:tc>
        <w:tc>
          <w:tcPr>
            <w:tcW w:w="1700" w:type="dxa"/>
          </w:tcPr>
          <w:p>
            <w:r>
              <w:rPr/>
              <w:t>—</w:t>
            </w:r>
          </w:p>
        </w:tc>
        <w:tc>
          <w:tcPr>
            <w:tcW w:w="1700" w:type="dxa"/>
          </w:tcPr>
          <w:p>
            <w:r>
              <w:rPr/>
              <w:t>103.1%</w:t>
            </w:r>
          </w:p>
        </w:tc>
      </w:tr>
      <w:tr>
        <w:tc>
          <w:tcPr>
            <w:tcW w:w="1700" w:type="dxa"/>
          </w:tcPr>
          <w:p>
            <w:r>
              <w:rPr/>
              <w:t>Purchase</w:t>
            </w:r>
          </w:p>
        </w:tc>
        <w:tc>
          <w:tcPr>
            <w:tcW w:w="1700" w:type="dxa"/>
          </w:tcPr>
          <w:p>
            <w:r>
              <w:rPr/>
              <w:t>33</w:t>
            </w:r>
          </w:p>
        </w:tc>
        <w:tc>
          <w:tcPr>
            <w:tcW w:w="1700" w:type="dxa"/>
          </w:tcPr>
          <w:p>
            <w:r>
              <w:rPr/>
              <w:t>—</w:t>
            </w:r>
          </w:p>
        </w:tc>
        <w:tc>
          <w:tcPr>
            <w:tcW w:w="1700" w:type="dxa"/>
          </w:tcPr>
          <w:p>
            <w:r>
              <w:rPr/>
              <w: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E293B"/>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e528dc0d1622c973379fd4214fb22c686b9480d.png"/><Relationship Id="rId7" Type="http://schemas.openxmlformats.org/officeDocument/2006/relationships/fontTable" Target="fontTable.xml"/><Relationship Id="rId8" Type="http://schemas.openxmlformats.org/officeDocument/2006/relationships/image" Target="media/image_generated_1.png"/><Relationship Id="rId9" Type="http://schemas.openxmlformats.org/officeDocument/2006/relationships/image" Target="media/image_generated_2.png"/><Relationship Id="rId10" Type="http://schemas.openxmlformats.org/officeDocument/2006/relationships/image" Target="media/image_generated_3.png"/><Relationship Id="rId11" Type="http://schemas.openxmlformats.org/officeDocument/2006/relationships/image" Target="media/image_generated_4.png"/><Relationship Id="rId12" Type="http://schemas.openxmlformats.org/officeDocument/2006/relationships/image" Target="media/image_generated_5.png"/><Relationship Id="rId13" Type="http://schemas.openxmlformats.org/officeDocument/2006/relationships/image" Target="media/image_generated_6.png"/><Relationship Id="rId14" Type="http://schemas.openxmlformats.org/officeDocument/2006/relationships/image" Target="media/image_generated_7.png"/><Relationship Id="rId15" Type="http://schemas.openxmlformats.org/officeDocument/2006/relationships/image" Target="media/image_generated_8.png"/><Relationship Id="rId16" Type="http://schemas.openxmlformats.org/officeDocument/2006/relationships/image" Target="media/image_generated_9.png"/><Relationship Id="rId17" Type="http://schemas.openxmlformats.org/officeDocument/2006/relationships/image" Target="media/image_generated_10.png"/><Relationship Id="rId18" Type="http://schemas.openxmlformats.org/officeDocument/2006/relationships/image" Target="media/image_generated_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2026-01-30T00:08:21.820Z</dcterms:created>
  <dcterms:modified xsi:type="dcterms:W3CDTF">2026-01-30T00:08:21.821Z</dcterms:modified>
</cp:coreProperties>
</file>

<file path=docProps/custom.xml><?xml version="1.0" encoding="utf-8"?>
<Properties xmlns="http://schemas.openxmlformats.org/officeDocument/2006/custom-properties" xmlns:vt="http://schemas.openxmlformats.org/officeDocument/2006/docPropsVTypes"/>
</file>