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11 May 2026 – 17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NeedleFree (Comfort-In) generated 13 deduped WooCommerce paid kit orders and $6,174.68 in backend revenue for the period. Meta attributed 18 purchase events and $8,168.11 in purchase value, giving 138.46% purchase capture and 132.28% value capture against Woo truth. Backend CPP was $39.80 with backend ROAS of 11.93x; Meta events remain the attribution lens while Woo order IDs are the business result. Average CTR was 3.56%.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$517.42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$28.75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3.56%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$2,336.65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$25.13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3.78%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$10,860.39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691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$15.72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$9.97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$41.89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10.50%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...915451371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$8.49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$23.58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...852672971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1.92%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...915958771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$7.31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$42.75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8.19%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...915464571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May-16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$6.91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2.30%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...915945971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...620572971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Feb-18 Release: </w:t>
      </w:r>
      <w:r>
        <w:rPr>
          <w:color w:val="475569"/>
          <w:sz w:val="22"/>
          <w:szCs w:val="22"/>
        </w:rPr>
        <w:t xml:space="preserve">6 conversions from 1 ad(s) – Best cost: $0.90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16 purchases, $9.74 CPP, 3.00%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55-64: </w:t>
      </w:r>
      <w:r>
        <w:rPr>
          <w:color w:val="475569"/>
          <w:sz w:val="22"/>
          <w:szCs w:val="22"/>
        </w:rPr>
        <w:t xml:space="preserve">8 purchases, $3.56 CPP, 4.15%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4 purchases, $3.74 CPP, 6.26%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18 purchases generated from $517.42 spend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CTR of 3.56% indicates strong ad relevance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purchase of $28.75 is within viable range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performer "(22-12-2025) - (5)" driving 22 purchases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Reduce CPL by pausing ads with CTR below 3.6% average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spend on winning ad creatives to increase volume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Create new ad variations based on top-performing creative patterns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targeting based on demographic insights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on top 2 performers by 20-30%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underperforming ads and pause or refresh creative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experiment for new headline or creative variation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frequency caps to avoid ad fatigue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Purchase Journey</w:t>
      </w:r>
    </w:p>
    <w:p>
      <w:r>
        <w:rPr>
          <w:sz w:val="20"/>
          <w:color w:val="64748B"/>
        </w:rPr>
        <w:t>Meta Pixel funnel showing how shoppers moved from Add to Cart through checkout and purchase.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Add to Cart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Purchase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ATC→Checkout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ATC→Purchase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172</w:t>
            </w:r>
          </w:p>
        </w:tc>
        <w:tc>
          <w:tcPr>
            <w:tcW w:w="1700" w:type="dxa"/>
          </w:tcPr>
          <w:p>
            <w:r>
              <w:rPr/>
              <w:t>213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123.84%</w:t>
            </w:r>
          </w:p>
        </w:tc>
        <w:tc>
          <w:tcPr>
            <w:tcW w:w="1700" w:type="dxa"/>
          </w:tcPr>
          <w:p>
            <w:r>
              <w:rPr/>
              <w:t>10.47%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664</w:t>
            </w:r>
          </w:p>
        </w:tc>
        <w:tc>
          <w:tcPr>
            <w:tcW w:w="1700" w:type="dxa"/>
          </w:tcPr>
          <w:p>
            <w:r>
              <w:rPr/>
              <w:t>318</w:t>
            </w:r>
          </w:p>
        </w:tc>
        <w:tc>
          <w:tcPr>
            <w:tcW w:w="1700" w:type="dxa"/>
          </w:tcPr>
          <w:p>
            <w:r>
              <w:rPr/>
              <w:t>93</w:t>
            </w:r>
          </w:p>
        </w:tc>
        <w:tc>
          <w:tcPr>
            <w:tcW w:w="1700" w:type="dxa"/>
          </w:tcPr>
          <w:p>
            <w:r>
              <w:rPr/>
              <w:t>47.89%</w:t>
            </w:r>
          </w:p>
        </w:tc>
        <w:tc>
          <w:tcPr>
            <w:tcW w:w="1700" w:type="dxa"/>
          </w:tcPr>
          <w:p>
            <w:r>
              <w:rPr/>
              <w:t>14.01%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3855</w:t>
            </w:r>
          </w:p>
        </w:tc>
        <w:tc>
          <w:tcPr>
            <w:tcW w:w="1700" w:type="dxa"/>
          </w:tcPr>
          <w:p>
            <w:r>
              <w:rPr/>
              <w:t>1145</w:t>
            </w:r>
          </w:p>
        </w:tc>
        <w:tc>
          <w:tcPr>
            <w:tcW w:w="1700" w:type="dxa"/>
          </w:tcPr>
          <w:p>
            <w:r>
              <w:rPr/>
              <w:t>691</w:t>
            </w:r>
          </w:p>
        </w:tc>
        <w:tc>
          <w:tcPr>
            <w:tcW w:w="1700" w:type="dxa"/>
          </w:tcPr>
          <w:p>
            <w:r>
              <w:rPr/>
              <w:t>29.70%</w:t>
            </w:r>
          </w:p>
        </w:tc>
        <w:tc>
          <w:tcPr>
            <w:tcW w:w="1700" w:type="dxa"/>
          </w:tcPr>
          <w:p>
            <w:r>
              <w:rPr/>
              <w:t>17.92%</w:t>
            </w:r>
          </w:p>
        </w:tc>
      </w:tr>
    </w:tbl>
    <w:p>
      <w:r>
        <w:rPr>
          <w:sz w:val="18"/>
          <w:color w:val="64748B"/>
        </w:rPr>
        <w:t>The biggest opportunity is improving the Checkout → Purchase step.</w:t>
      </w:r>
    </w:p>
    <w:p>
      <w:pPr>
        <w:spacing w:before="360" w:after="120"/>
      </w:pPr>
      <w:r>
        <w:rPr>
          <w:b/>
          <w:sz w:val="28"/>
          <w:color w:val="1A1A2E"/>
        </w:rPr>
        <w:t>Sales Confirmation</w:t>
      </w:r>
    </w:p>
    <w:p>
      <w:r>
        <w:rPr>
          <w:sz w:val="20"/>
          <w:color w:val="64748B"/>
        </w:rPr>
        <w:t>WooCommerce confirms the paid orders that landed. Meta Ads Manager shows the ad platform’s reported purchase performance.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Sales Check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WooCommerce paid kit orders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WooCommerce revenue</w:t>
            </w:r>
          </w:p>
        </w:tc>
        <w:tc>
          <w:tcPr>
            <w:tcW w:w="1700" w:type="dxa"/>
          </w:tcPr>
          <w:p>
            <w:r>
              <w:rPr/>
              <w:t>$6,174.68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 value</w:t>
            </w:r>
          </w:p>
        </w:tc>
        <w:tc>
          <w:tcPr>
            <w:tcW w:w="1700" w:type="dxa"/>
          </w:tcPr>
          <w:p>
            <w:r>
              <w:rPr/>
              <w:t>$8,168.11</w:t>
            </w:r>
          </w:p>
        </w:tc>
      </w:tr>
      <w:tr>
        <w:tc>
          <w:tcPr>
            <w:tcW w:w="1700" w:type="dxa"/>
          </w:tcPr>
          <w:p>
            <w:r>
              <w:rPr/>
              <w:t>Backend ROAS</w:t>
            </w:r>
          </w:p>
        </w:tc>
        <w:tc>
          <w:tcPr>
            <w:tcW w:w="1700" w:type="dxa"/>
          </w:tcPr>
          <w:p>
            <w:r>
              <w:rPr/>
              <w:t>11.93x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Meta Ads Performance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1700" w:type="dxa"/>
          </w:tcPr>
          <w:p>
            <w:r>
              <w:rPr/>
              <w:t>Meta spend</w:t>
            </w:r>
          </w:p>
        </w:tc>
        <w:tc>
          <w:tcPr>
            <w:tcW w:w="1700" w:type="dxa"/>
          </w:tcPr>
          <w:p>
            <w:r>
              <w:rPr/>
              <w:t>$517.42</w:t>
            </w:r>
          </w:p>
        </w:tc>
      </w:tr>
      <w:tr>
        <w:tc>
          <w:tcPr>
            <w:tcW w:w="1700" w:type="dxa"/>
          </w:tcPr>
          <w:p>
            <w:r>
              <w:rPr/>
              <w:t>Meta reported purchases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</w:tr>
      <w:tr>
        <w:tc>
          <w:tcPr>
            <w:tcW w:w="1700" w:type="dxa"/>
          </w:tcPr>
          <w:p>
            <w:r>
              <w:rPr/>
              <w:t>Cost per purchase</w:t>
            </w:r>
          </w:p>
        </w:tc>
        <w:tc>
          <w:tcPr>
            <w:tcW w:w="1700" w:type="dxa"/>
          </w:tcPr>
          <w:p>
            <w:r>
              <w:rPr/>
              <w:t>$28.75</w:t>
            </w:r>
          </w:p>
        </w:tc>
      </w:tr>
      <w:tr>
        <w:tc>
          <w:tcPr>
            <w:tcW w:w="1700" w:type="dxa"/>
          </w:tcPr>
          <w:p>
            <w:r>
              <w:rPr/>
              <w:t>Meta reported ROAS</w:t>
            </w:r>
          </w:p>
        </w:tc>
        <w:tc>
          <w:tcPr>
            <w:tcW w:w="1700" w:type="dxa"/>
          </w:tcPr>
          <w:p>
            <w:r>
              <w:rPr/>
              <w:t>15.79x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Website Revenue Mix</w:t>
      </w:r>
    </w:p>
    <w:p>
      <w:r>
        <w:rPr>
          <w:sz w:val="20"/>
          <w:color w:val="64748B"/>
        </w:rPr>
        <w:t>GA4 view of revenue by website channel for context around Meta campaign performance.</w:t>
      </w:r>
    </w:p>
    <w:tbl>
      <w:tblPr>
        <w:tblW w:w="9504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r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19" name="ga4-source-mix-current-1779061426259-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ga4-source-mix-current-1779061426259-0.png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0" name="ga4-source-mix-previous-1779061426260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ga4-source-mix-previous-1779061426260-1.png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8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1980000" cy="1600200"/>
                  <wp:effectExtent l="0" t="0" r="0" b="0"/>
                  <wp:docPr id="21" name="ga4-source-mix-month-1779061426260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ga4-source-mix-month-1779061426260-2.png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sz w:val="18"/>
          <w:color w:val="64748B"/>
        </w:rPr>
        <w:t>Organic Search revenue: $1,822.46 this period. GA4 Paid Social revenue: $0.00 this period.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Relationship Id="rId19" Type="http://schemas.openxmlformats.org/officeDocument/2006/relationships/image" Target="media/ga4-source-mix-current-1779061426259-0.png"/><Relationship Id="rId20" Type="http://schemas.openxmlformats.org/officeDocument/2006/relationships/image" Target="media/ga4-source-mix-previous-1779061426260-1.png"/><Relationship Id="rId21" Type="http://schemas.openxmlformats.org/officeDocument/2006/relationships/image" Target="media/ga4-source-mix-month-1779061426260-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