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All NeedleFree funnel campaigns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11 May 2026 – 17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13 deduped WooCommerce paid kit orders and $6,174.68 in backend revenue for the period. Meta attributed 18 purchase events and $8,168.11 in purchase value, giving 138.46% purchase capture and 132.28% value capture against Woo truth. Backend CPP was $42.34 with backend ROAS of 11.22x; Meta events remain the attribution lens while Woo order IDs are the business result. Average CTR was 3.49%.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$550.40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$30.58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3.49%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$2,369.63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$25.48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$10,893.37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691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$15.76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3.82%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$9.97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$41.89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10.50%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...915451371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$8.49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...852672971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1.92%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...915958771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$42.75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8.19%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...915464571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$6.91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$2.83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...915945971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6 conversions from 1 ad(s) – Best cost: $0.90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16 purchases, $9.74 CPP, 3.00%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55-64: </w:t>
      </w:r>
      <w:r>
        <w:rPr>
          <w:color w:val="475569"/>
          <w:sz w:val="22"/>
          <w:szCs w:val="22"/>
        </w:rPr>
        <w:t xml:space="preserve">8 purchases, $3.56 CPP, 4.15%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4 purchases, $3.74 CPP, 6.25%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CTR of 3.49% indicates highly engaging creative and strong audience targeting - well above industry benchmarks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(22-12-2025) delivering outstanding results with 22 purchases at only $0.39 cost per purchase and strong 2.65% CTR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click-to-purchase conversion rate of 1.32% demonstrates effective landing page experience and product-market fit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Consistent purchase volume across multiple ad variants shows diversified creative approach is resonating with audience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Cost per purchase of $30.58 appears high for e-commerce - focus on scaling top performers to reduce overall acquisition costs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gap between top ad ($0.39 CPA) and others ($0.76-$0.88) suggests untapped potential in creative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Two lower-performing ads show declining CTRs (1.13% and 0.85%) indicating possible creative fatigue or audience saturation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Limited ad variants tested - expand creative testing to identify more high-performing combinations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Immediately increase budget allocation to top performing ad (22-12-2025) by 40-50% to capitalise on low $0.39 cost per purchase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creative elements of winning ad (copy, imagery, format) and create 3-4 new variants incorporating these successful components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refresh underperforming ads with CTRs below 1.5% and test new creative angles or audience segments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dynamic product ads or catalogue campaigns to expand reach while maintaining the strong conversion rate performance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Client-facing funnel based on Meta-attributed shopping intent and confirmed purchase events. This avoids presenting Add to Cart and Checkout as a strict sequence when retargeting and return visits make the raw event counts non-sequential.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Shopping Intent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Intent → 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 → 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222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  <w:tc>
          <w:tcPr>
            <w:tcW w:w="1700" w:type="dxa"/>
          </w:tcPr>
          <w:p>
            <w:r>
              <w:rPr/>
              <w:t>8.11%</w:t>
            </w:r>
          </w:p>
        </w:tc>
        <w:tc>
          <w:tcPr>
            <w:tcW w:w="1700" w:type="dxa"/>
          </w:tcPr>
          <w:p>
            <w:r>
              <w:rPr/>
              <w:t>10.23%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668</w:t>
            </w:r>
          </w:p>
        </w:tc>
        <w:tc>
          <w:tcPr>
            <w:tcW w:w="1700" w:type="dxa"/>
          </w:tcPr>
          <w:p>
            <w:r>
              <w:rPr/>
              <w:t>93</w:t>
            </w:r>
          </w:p>
        </w:tc>
        <w:tc>
          <w:tcPr>
            <w:tcW w:w="1700" w:type="dxa"/>
          </w:tcPr>
          <w:p>
            <w:r>
              <w:rPr/>
              <w:t>13.92%</w:t>
            </w:r>
          </w:p>
        </w:tc>
        <w:tc>
          <w:tcPr>
            <w:tcW w:w="1700" w:type="dxa"/>
          </w:tcPr>
          <w:p>
            <w:r>
              <w:rPr/>
              <w:t>13.92%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3859</w:t>
            </w:r>
          </w:p>
        </w:tc>
        <w:tc>
          <w:tcPr>
            <w:tcW w:w="1700" w:type="dxa"/>
          </w:tcPr>
          <w:p>
            <w:r>
              <w:rPr/>
              <w:t>691</w:t>
            </w:r>
          </w:p>
        </w:tc>
        <w:tc>
          <w:tcPr>
            <w:tcW w:w="1700" w:type="dxa"/>
          </w:tcPr>
          <w:p>
            <w:r>
              <w:rPr/>
              <w:t>17.91%</w:t>
            </w:r>
          </w:p>
        </w:tc>
        <w:tc>
          <w:tcPr>
            <w:tcW w:w="1700" w:type="dxa"/>
          </w:tcPr>
          <w:p>
            <w:r>
              <w:rPr/>
              <w:t>17.91%</w:t>
            </w:r>
          </w:p>
        </w:tc>
      </w:tr>
    </w:tbl>
    <w:p>
      <w:r>
        <w:rPr>
          <w:sz w:val="18"/>
          <w:color w:val="64748B"/>
        </w:rPr>
        <w:t>Use this as the client-facing purchase-intent funnel. Raw Add to Cart and Checkout are kept for internal diagnostics because Meta attribution can make those event counts non-sequential.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$6,174.68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$8,168.11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11.22x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$550.40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$30.58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14.84x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9" name="ga4-source-mix-current-1779080129639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ga4-source-mix-current-1779080129639-0.png"/>
                          <pic:cNvPicPr/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20" name="ga4-source-mix-previous-1779080129640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ga4-source-mix-previous-1779080129640-1.png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21" name="ga4-source-mix-month-1779080129640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ga4-source-mix-month-1779080129640-2.png"/>
                          <pic:cNvPicPr/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$1,822.46 this period. GA4 Paid Social revenue: $0.00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Relationship Id="rId19" Type="http://schemas.openxmlformats.org/officeDocument/2006/relationships/image" Target="media/ga4-source-mix-current-1779080129639-0.png"/><Relationship Id="rId20" Type="http://schemas.openxmlformats.org/officeDocument/2006/relationships/image" Target="media/ga4-source-mix-previous-1779080129640-1.png"/><Relationship Id="rId21" Type="http://schemas.openxmlformats.org/officeDocument/2006/relationships/image" Target="media/ga4-source-mix-month-1779080129640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