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18 May 2026 – 24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6 deduped WooCommerce paid kit orders and $2,465.20 in backend revenue for the period. Meta attributed 13 purchase events and $4,547.54 in purchase value, giving 216.67% purchase capture and 184.47% value capture against Woo truth. Backend CPP was $50.10 with backend ROAS of 8.20x; Meta events remain the attribution lens while Woo order IDs are the business result. Average CTR was 2.67%.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$300.59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$23.12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$2,128.55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$26.28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3.67%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$11,193.97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3.79%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$29.25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$49.66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3.23%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...536781971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Data from the reporting period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All: </w:t>
      </w:r>
      <w:r>
        <w:rPr>
          <w:color w:val="475569"/>
          <w:sz w:val="22"/>
          <w:szCs w:val="22"/>
        </w:rPr>
        <w:t xml:space="preserve">Performance data aggregated across all release lots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Analysis pending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More data needed for creative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8 purchases, $13.34 CPP, 2.33%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6 purchases, $12.77 CPP, 1.74%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18-24: </w:t>
      </w:r>
      <w:r>
        <w:rPr>
          <w:color w:val="475569"/>
          <w:sz w:val="22"/>
          <w:szCs w:val="22"/>
        </w:rPr>
        <w:t xml:space="preserve">4 purchases, $0.82 CPP, 1.68%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click-through rate of 2.67% indicates compelling ad creative and messaging that resonates with the target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Solid conversion rate of 2.15% (13 purchases from 605 clicks) demonstrates effective landing page experience and product appeal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$23.12 is reasonable for the healthcare/medical device category, showing efficient budget allocation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Increase daily budget to capture more high-intent traffic during peak performance periods and scale successful campaigns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additional ad creative variations focusing on pain points and comfort benefits to improve CTR beyond the current 2.67%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Implement retargeting campaigns for the 592 users who clicked but didn't convert to recover potential lost sales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Analyse demographic and placement performance data to identify and exclude underperforming segments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Launch lookalike audiences based on the 13 recent purchasers to expand reach to similar high-converting prospects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video testimonials or demonstration content showcasing the comfort benefits of NeedleFree technology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dynamic retargeting ads with special offers for cart abandoners and previous website visitors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conversion tracking optimisation by switching to 'Maximise Conversions' bidding strategy to improve cost per purchase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Meta-attributed shopping intent and confirmed purchase events. This avoids presenting Add to Cart and Checkout as a strict sequence when retargeting and return visits make the raw event counts non-sequential.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84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15.48%</w:t>
            </w:r>
          </w:p>
        </w:tc>
        <w:tc>
          <w:tcPr>
            <w:tcW w:w="1700" w:type="dxa"/>
          </w:tcPr>
          <w:p>
            <w:r>
              <w:rPr/>
              <w:t>22.81%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586</w:t>
            </w:r>
          </w:p>
        </w:tc>
        <w:tc>
          <w:tcPr>
            <w:tcW w:w="1700" w:type="dxa"/>
          </w:tcPr>
          <w:p>
            <w:r>
              <w:rPr/>
              <w:t>81</w:t>
            </w:r>
          </w:p>
        </w:tc>
        <w:tc>
          <w:tcPr>
            <w:tcW w:w="1700" w:type="dxa"/>
          </w:tcPr>
          <w:p>
            <w:r>
              <w:rPr/>
              <w:t>13.82%</w:t>
            </w:r>
          </w:p>
        </w:tc>
        <w:tc>
          <w:tcPr>
            <w:tcW w:w="1700" w:type="dxa"/>
          </w:tcPr>
          <w:p>
            <w:r>
              <w:rPr/>
              <w:t>13.82%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3916</w:t>
            </w:r>
          </w:p>
        </w:tc>
        <w:tc>
          <w:tcPr>
            <w:tcW w:w="1700" w:type="dxa"/>
          </w:tcPr>
          <w:p>
            <w:r>
              <w:rPr/>
              <w:t>704</w:t>
            </w:r>
          </w:p>
        </w:tc>
        <w:tc>
          <w:tcPr>
            <w:tcW w:w="1700" w:type="dxa"/>
          </w:tcPr>
          <w:p>
            <w:r>
              <w:rPr/>
              <w:t>17.98%</w:t>
            </w:r>
          </w:p>
        </w:tc>
        <w:tc>
          <w:tcPr>
            <w:tcW w:w="1700" w:type="dxa"/>
          </w:tcPr>
          <w:p>
            <w:r>
              <w:rPr/>
              <w:t>17.98%</w:t>
            </w:r>
          </w:p>
        </w:tc>
      </w:tr>
    </w:tbl>
    <w:p>
      <w:r>
        <w:rPr>
          <w:sz w:val="18"/>
          <w:color w:val="64748B"/>
        </w:rPr>
        <w:t>Use this as the client-facing purchase-intent funnel. Raw Add to Cart and Checkout are kept for internal diagnostics because Meta attribution can make those event counts non-sequential.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$2,465.20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$4,547.54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8.20x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$300.59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$23.12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15.13x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0" name="ga4-source-mix-current-1779343422856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a4-source-mix-current-1779343422856-0.png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1" name="ga4-source-mix-previous-1779343422857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a4-source-mix-previous-1779343422857-1.png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2" name="ga4-source-mix-month-1779343422858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a4-source-mix-month-1779343422858-2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$1,176.89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ga4-source-mix-current-1779343422856-0.png"/><Relationship Id="rId11" Type="http://schemas.openxmlformats.org/officeDocument/2006/relationships/image" Target="media/ga4-source-mix-previous-1779343422857-1.png"/><Relationship Id="rId12" Type="http://schemas.openxmlformats.org/officeDocument/2006/relationships/image" Target="media/ga4-source-mix-month-1779343422858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