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18 May 2026 – 24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10 deduped WooCommerce paid kit orders and $4,156.89 in backend revenue for the period. Meta attributed 17 purchase events and $5,849.35 in purchase value, giving 170.00% purchase capture and 140.71% value capture against Woo truth. Backend CPP was $57.71 with backend ROAS of 7.20x; Meta events remain the attribution lens while Woo order IDs are the business result. Average CTR was 3.00%.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$577.12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$33.95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3.00%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$2,405.08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$11,470.50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$16.20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$14.39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6 conversions from 1 ad(s) – Best cost: $0.92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12 purchases, $17.25 CPP, 2.54%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10 purchases, $14.11 CPP, 2.17%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18-24: </w:t>
      </w:r>
      <w:r>
        <w:rPr>
          <w:color w:val="475569"/>
          <w:sz w:val="22"/>
          <w:szCs w:val="22"/>
        </w:rPr>
        <w:t xml:space="preserve">4 purchases, $1.00 CPP, 1.67%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CTR of 3.00% indicates strong creative resonance and audience targeting - well above industry benchmarks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demonstrates powerful conversion efficiency at $0.39 cost per purchase with 2.65%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engagement with 1,354 clicks from 45,171 impressions showing effective audience reach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purchase volume across multiple ad variations indicates scalable creative concepts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at $33.95 needs optimisation - significant gap between top performer ($0.39) and account average suggests budget redistribution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performing ads (20-01-2026 and 10-02-2026) with sub-1.5% CTRs are driving up average costs and reducing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Purchase conversion rate appears low relative to high CTR, indicating potential landing page or checkout process friction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Budget allocation not optimised towards the highest performing creative which is delivering 22x better cost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reallocate 60-70% of budget towards the top performing ad (22-12-2025) to capitalise on $0.39 cost per purchase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significantly reduce spend on underperforming ads with CTRs below 1.5% to improve overall account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landing page and checkout flow for the high-CTR but lower-converting traffic to identify conversion barriers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ad variations using elements from the top performer (22-12-2025) to scale successful creative concepts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147</w:t>
            </w:r>
          </w:p>
        </w:tc>
        <w:tc>
          <w:tcPr>
            <w:tcW w:w="1700" w:type="dxa"/>
          </w:tcPr>
          <w:p>
            <w:r>
              <w:rPr/>
              <w:t>17</w:t>
            </w:r>
          </w:p>
        </w:tc>
        <w:tc>
          <w:tcPr>
            <w:tcW w:w="1700" w:type="dxa"/>
          </w:tcPr>
          <w:p>
            <w:r>
              <w:rPr/>
              <w:t>11.56%</w:t>
            </w:r>
          </w:p>
        </w:tc>
        <w:tc>
          <w:tcPr>
            <w:tcW w:w="1700" w:type="dxa"/>
          </w:tcPr>
          <w:p>
            <w:r>
              <w:rPr/>
              <w:t>19.77%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615</w:t>
            </w:r>
          </w:p>
        </w:tc>
        <w:tc>
          <w:tcPr>
            <w:tcW w:w="1700" w:type="dxa"/>
          </w:tcPr>
          <w:p>
            <w:r>
              <w:rPr/>
              <w:t>85</w:t>
            </w:r>
          </w:p>
        </w:tc>
        <w:tc>
          <w:tcPr>
            <w:tcW w:w="1700" w:type="dxa"/>
          </w:tcPr>
          <w:p>
            <w:r>
              <w:rPr/>
              <w:t>13.82%</w:t>
            </w:r>
          </w:p>
        </w:tc>
        <w:tc>
          <w:tcPr>
            <w:tcW w:w="1700" w:type="dxa"/>
          </w:tcPr>
          <w:p>
            <w:r>
              <w:rPr/>
              <w:t>13.82%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3945</w:t>
            </w:r>
          </w:p>
        </w:tc>
        <w:tc>
          <w:tcPr>
            <w:tcW w:w="1700" w:type="dxa"/>
          </w:tcPr>
          <w:p>
            <w:r>
              <w:rPr/>
              <w:t>708</w:t>
            </w:r>
          </w:p>
        </w:tc>
        <w:tc>
          <w:tcPr>
            <w:tcW w:w="1700" w:type="dxa"/>
          </w:tcPr>
          <w:p>
            <w:r>
              <w:rPr/>
              <w:t>17.95%</w:t>
            </w:r>
          </w:p>
        </w:tc>
        <w:tc>
          <w:tcPr>
            <w:tcW w:w="1700" w:type="dxa"/>
          </w:tcPr>
          <w:p>
            <w:r>
              <w:rPr/>
              <w:t>17.95%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$4,156.89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17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$5,849.35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7.20x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$577.12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17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$33.95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10.14x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6" name="ga4-source-mix-current-1779679900816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4-source-mix-current-1779679900816-0.png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7" name="ga4-source-mix-previous-1779679900817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a4-source-mix-previous-1779679900817-1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8" name="ga4-source-mix-month-1779679900817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a4-source-mix-month-1779679900817-2.png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$1,286.83 this period. GA4 Paid Social revenue: $538.84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ga4-source-mix-current-1779679900816-0.png"/><Relationship Id="rId17" Type="http://schemas.openxmlformats.org/officeDocument/2006/relationships/image" Target="media/ga4-source-mix-previous-1779679900817-1.png"/><Relationship Id="rId18" Type="http://schemas.openxmlformats.org/officeDocument/2006/relationships/image" Target="media/ga4-source-mix-month-1779679900817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