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31 May 2026 – 6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10 deduped WooCommerce paid kit orders and $4,826.14 in backend revenue for the period. Meta attributed 9 purchase events and $2,255.12 in purchase value, giving 90.00% purchase capture and 46.73% value capture against Woo truth. Backend CPP was $25.41 with backend ROAS of 18.99x; Meta events remain the attribution lens while Woo order IDs are the business result. Average CTR was 4.50%.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$254.12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$28.24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4.50%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$254.12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$28.24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4.50%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$254.12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$28.24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4.50%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$17.75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2.09%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...193242792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$2.64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...639363792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Jun-2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...213104992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...639305792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Nov-8 Release: </w:t>
      </w:r>
      <w:r>
        <w:rPr>
          <w:color w:val="475569"/>
          <w:sz w:val="22"/>
          <w:szCs w:val="22"/>
        </w:rPr>
        <w:t xml:space="preserve">8 conversions from 2 ad(s) – Best cost: $2.64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Nov-10 Release: </w:t>
      </w:r>
      <w:r>
        <w:rPr>
          <w:color w:val="475569"/>
          <w:sz w:val="22"/>
          <w:szCs w:val="22"/>
        </w:rPr>
        <w:t xml:space="preserve">10 conversions from 1 ad(s) – Best cost: $5.59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NF Static Approved | 04-2_top_right | Nov-8 MOF TRT | 20260526 – 4 conversions at $2.64 cost, 3.45%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(10-11-2025) - (9) - Copy – 10 conversions at $5.59 cost, 6.77%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18 purchases, $5.34 CPP, 4.99%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click-through rate of 4.50% indicates compelling ad creative and messaging is resonating with the target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'(10-11-2025) - (9) - Copy' delivering exceptional results with $5.59 cost per purchase and 6.77% CTR - significantly outperforming campaign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Static approved creatives with 'top_right' placement are consistently driving conversions across multiple ad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Middle-of-funnel (MOF) targeting strategy is effectively capturing purchase intent with multiple ads achieving 3.45-6.78% CTR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at $28.24 appears high for e-commerce - analyse profit margins to ensure campaign profitability and optimise for better conversion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Conversion rate needs improvement with only 9 purchases from 1,246 clicks (0.72%) - investigate landing page experience and checkout process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bottom performing ads suggests budget reallocation opportunities to maximise ROAS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purchase volume of 9 conversions may indicate audience size constraints or bidding strategy requiring adjustment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top performer '(10-11-2025) - (9) - Copy' and pause underperforming variations to improve overall campaign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landing page audit focusing on mobile experience, page load speed, and checkout flow optimisation to improve the 0.72% conversion rate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additional ad variations using successful elements from top performers (copy style, creative format, placement strategy) to scale winning approaches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conversion tracking analysis to identify where users drop off in the purchase funnel and A/B test different audience segments within MOF strategy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153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  <w:tc>
          <w:tcPr>
            <w:tcW w:w="1700" w:type="dxa"/>
          </w:tcPr>
          <w:p>
            <w:r>
              <w:rPr/>
              <w:t>5.88%</w:t>
            </w:r>
          </w:p>
        </w:tc>
        <w:tc>
          <w:tcPr>
            <w:tcW w:w="1700" w:type="dxa"/>
          </w:tcPr>
          <w:p>
            <w:r>
              <w:rPr/>
              <w:t>11.39%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153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  <w:tc>
          <w:tcPr>
            <w:tcW w:w="1700" w:type="dxa"/>
          </w:tcPr>
          <w:p>
            <w:r>
              <w:rPr/>
              <w:t>5.88%</w:t>
            </w:r>
          </w:p>
        </w:tc>
        <w:tc>
          <w:tcPr>
            <w:tcW w:w="1700" w:type="dxa"/>
          </w:tcPr>
          <w:p>
            <w:r>
              <w:rPr/>
              <w:t>11.39%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153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  <w:tc>
          <w:tcPr>
            <w:tcW w:w="1700" w:type="dxa"/>
          </w:tcPr>
          <w:p>
            <w:r>
              <w:rPr/>
              <w:t>5.88%</w:t>
            </w:r>
          </w:p>
        </w:tc>
        <w:tc>
          <w:tcPr>
            <w:tcW w:w="1700" w:type="dxa"/>
          </w:tcPr>
          <w:p>
            <w:r>
              <w:rPr/>
              <w:t>11.39%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$4,826.14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$2,255.12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18.99x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$254.12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9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$28.24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8.87x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3" name="ga4-source-mix-current-1780627650218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a4-source-mix-current-1780627650218-0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4" name="ga4-source-mix-previous-1780627650219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a4-source-mix-previous-1780627650219-1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5" name="ga4-source-mix-month-1780627650219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a4-source-mix-month-1780627650219-2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$2,025.04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ga4-source-mix-current-1780627650218-0.png"/><Relationship Id="rId14" Type="http://schemas.openxmlformats.org/officeDocument/2006/relationships/image" Target="media/ga4-source-mix-previous-1780627650219-1.png"/><Relationship Id="rId15" Type="http://schemas.openxmlformats.org/officeDocument/2006/relationships/image" Target="media/ga4-source-mix-month-1780627650219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