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 June 2026 – 7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15 deduped WooCommerce paid kit orders and $7,103.61 in backend revenue for the period. Meta attributed 15 purchase events and $6,918.16 in purchase value, giving 100.00% purchase capture and 97.39% value capture against Woo truth. Backend CPP was $31.75 with backend ROAS of 14.92x; Meta events remain the attribution lens while Woo order IDs are the business result. Average CTR was 4.71%.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$476.26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$31.75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4.71%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$2,154.14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$29.92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3.44%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$12,330.15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$16.62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3.77%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$25.87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$21.57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1.75%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...193242792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$2.06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...620572971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11 conversions from 1 ad(s) – Best cost: $0.77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2 conversions from 1 ad(s) – Best cost: $1.51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3 conversions from 1 ad(s) – Best cost: $1.75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Feb-18 Release: </w:t>
      </w:r>
      <w:r>
        <w:rPr>
          <w:color w:val="475569"/>
          <w:sz w:val="22"/>
          <w:szCs w:val="22"/>
        </w:rPr>
        <w:t xml:space="preserve">3 conversions from 1 ad(s) – Best cost: $2.06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2 conversions from 1 ad(s) – Best cost: $2.52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11 conversions at $0.77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2 conversions at $1.51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15 purchases, $12.13 CPP, 5.31%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4.71% indicates compelling creative and audience targeting is resonating well with potential customers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(22-12-2025) demonstrates exceptional efficiency with 11 purchases at only $0.77 CPA - significantly below the $31.75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Consistent conversion performance across multiple ad variations shows the NeedleFree product messaging is connecting with the target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of 1,608 from 34,158 impressions demonstrates strong audience engagement and interest in the Comfort-In product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CPA variance between top performer ($0.77) and campaign average ($31.75) suggests budget redistribution could dramatically improve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Lower performing ads are driving up overall costs - the bottom performers appear to be consuming budget without delivering proportional returns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drops substantially from top performer (2.65%) to other variations, indicating creative optimisation potential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With only 15 purchases from 1,608 clicks, the 0.93% conversion rate suggests landing page or checkout process optimisation opportunities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the top performing ad (22-12-2025) and pause or reduce spend on underperforming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the creative elements and targeting of the $0.77 CPA ad to replicate these successful components across new ad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landing page analysis and A/B test checkout flow improvements to increase the conversion rate from the strong click-through traffic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2-3 new ad variations based on the winning creative format and test against different audience segments to scale successful performance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Meta-attributed shopping intent and confirmed purchase events. This avoids presenting Add to Cart and Checkout as a strict sequence when retargeting and return visits make the raw event counts non-sequential.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230</w:t>
            </w:r>
          </w:p>
        </w:tc>
        <w:tc>
          <w:tcPr>
            <w:tcW w:w="1700" w:type="dxa"/>
          </w:tcPr>
          <w:p>
            <w:r>
              <w:rPr/>
              <w:t>15</w:t>
            </w:r>
          </w:p>
        </w:tc>
        <w:tc>
          <w:tcPr>
            <w:tcW w:w="1700" w:type="dxa"/>
          </w:tcPr>
          <w:p>
            <w:r>
              <w:rPr/>
              <w:t>6.52%</w:t>
            </w:r>
          </w:p>
        </w:tc>
        <w:tc>
          <w:tcPr>
            <w:tcW w:w="1700" w:type="dxa"/>
          </w:tcPr>
          <w:p>
            <w:r>
              <w:rPr/>
              <w:t>13.04%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749</w:t>
            </w:r>
          </w:p>
        </w:tc>
        <w:tc>
          <w:tcPr>
            <w:tcW w:w="1700" w:type="dxa"/>
          </w:tcPr>
          <w:p>
            <w:r>
              <w:rPr/>
              <w:t>72</w:t>
            </w:r>
          </w:p>
        </w:tc>
        <w:tc>
          <w:tcPr>
            <w:tcW w:w="1700" w:type="dxa"/>
          </w:tcPr>
          <w:p>
            <w:r>
              <w:rPr/>
              <w:t>9.61%</w:t>
            </w:r>
          </w:p>
        </w:tc>
        <w:tc>
          <w:tcPr>
            <w:tcW w:w="1700" w:type="dxa"/>
          </w:tcPr>
          <w:p>
            <w:r>
              <w:rPr/>
              <w:t>15.06%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4117</w:t>
            </w:r>
          </w:p>
        </w:tc>
        <w:tc>
          <w:tcPr>
            <w:tcW w:w="1700" w:type="dxa"/>
          </w:tcPr>
          <w:p>
            <w:r>
              <w:rPr/>
              <w:t>742</w:t>
            </w:r>
          </w:p>
        </w:tc>
        <w:tc>
          <w:tcPr>
            <w:tcW w:w="1700" w:type="dxa"/>
          </w:tcPr>
          <w:p>
            <w:r>
              <w:rPr/>
              <w:t>18.02%</w:t>
            </w:r>
          </w:p>
        </w:tc>
        <w:tc>
          <w:tcPr>
            <w:tcW w:w="1700" w:type="dxa"/>
          </w:tcPr>
          <w:p>
            <w:r>
              <w:rPr/>
              <w:t>18.02%</w:t>
            </w:r>
          </w:p>
        </w:tc>
      </w:tr>
    </w:tbl>
    <w:p>
      <w:r>
        <w:rPr>
          <w:sz w:val="18"/>
          <w:color w:val="64748B"/>
        </w:rPr>
        <w:t>Use this as the client-facing purchase-intent funnel. Raw Add to Cart and Checkout are kept for internal diagnostics because Meta attribution can make those event counts non-sequential.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15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$7,103.61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15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$6,918.16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14.92x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$476.26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15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$31.75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14.53x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5" name="ga4-source-mix-current-1780891909287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a4-source-mix-current-1780891909287-0.png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6" name="ga4-source-mix-previous-1780891909288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a4-source-mix-previous-1780891909288-1.png"/>
                          <pic:cNvPicPr/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7" name="ga4-source-mix-month-1780891909288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a4-source-mix-month-1780891909288-2.png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$4,091.78 this period. GA4 Paid Social revenue: $0.00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ga4-source-mix-current-1780891909287-0.png"/><Relationship Id="rId16" Type="http://schemas.openxmlformats.org/officeDocument/2006/relationships/image" Target="media/ga4-source-mix-previous-1780891909288-1.png"/><Relationship Id="rId17" Type="http://schemas.openxmlformats.org/officeDocument/2006/relationships/image" Target="media/ga4-source-mix-month-1780891909288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