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Reconciled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All NeedleFree funnel campaigns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8 June 2026 – 14 June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NeedleFree (Comfort-In) generated 19 reconciled purchases and $8,467.45 in revenue for the period. Total spend was $584.82, producing a $30.78 cost per purchase and 14.48x ROAS. Average CTR was 6.98%, with strong click volume and confirmed paid kit sales through WooCommerce.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$584.82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$30.78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6.98%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$2,163.60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57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$37.96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4.55%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$12,913.52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539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$23.96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3.98%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Jun-8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$1.27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10.29%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...907448792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Jun-8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$5.43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4.13%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...897906792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$0.77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2.65%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...434619171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Jun-8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$1.27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10.29%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...907448792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$1.51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1.13%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...245221971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$1.75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0.85%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$2.06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1.07%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...620572971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13 conversions from 2 ad(s) – Best cost: $0.77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Jan-20 Release: </w:t>
      </w:r>
      <w:r>
        <w:rPr>
          <w:color w:val="475569"/>
          <w:sz w:val="22"/>
          <w:szCs w:val="22"/>
        </w:rPr>
        <w:t xml:space="preserve">2 conversions from 1 ad(s) – Best cost: $1.51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Feb-10 Release: </w:t>
      </w:r>
      <w:r>
        <w:rPr>
          <w:color w:val="475569"/>
          <w:sz w:val="22"/>
          <w:szCs w:val="22"/>
        </w:rPr>
        <w:t xml:space="preserve">3 conversions from 1 ad(s) – Best cost: $1.75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Feb-18 Release: </w:t>
      </w:r>
      <w:r>
        <w:rPr>
          <w:color w:val="475569"/>
          <w:sz w:val="22"/>
          <w:szCs w:val="22"/>
        </w:rPr>
        <w:t xml:space="preserve">3 conversions from 1 ad(s) – Best cost: $2.06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(22-12-2025) - (5) – 11 conversions at $0.77 cost, 2.65%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(22-12-2025) - (2) - Copy 2 – 2 conversions at $1.27 cost, 10.29%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35-44: </w:t>
      </w:r>
      <w:r>
        <w:rPr>
          <w:color w:val="475569"/>
          <w:sz w:val="22"/>
          <w:szCs w:val="22"/>
        </w:rPr>
        <w:t xml:space="preserve">5 purchases, $41.43 CPP, 7.49%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45-54: </w:t>
      </w:r>
      <w:r>
        <w:rPr>
          <w:color w:val="475569"/>
          <w:sz w:val="22"/>
          <w:szCs w:val="22"/>
        </w:rPr>
        <w:t xml:space="preserve">2 purchases, $58.27 CPP, 7.56%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25-34: </w:t>
      </w:r>
      <w:r>
        <w:rPr>
          <w:color w:val="475569"/>
          <w:sz w:val="22"/>
          <w:szCs w:val="22"/>
        </w:rPr>
        <w:t xml:space="preserve">2 purchases, $63.89 CPP, 7.51%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click-through rate of 6.98% indicates compelling creative and messaging that resonates with your target audience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Cost per purchase of $30.78 demonstrates viable unit economics for NeedleFree's acquisition strategy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performing ad (22-12-2025) - (5) delivered exceptional efficiency at $0.77 CPP with solid 2.65% CTR, showing scalable creative potential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High-CTR creative (22-12-2025) - (2) - Copy 2 achieved 10.29% engagement rate, indicating strong hook effectiveness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Scale successful creative elements from top performers, particularly the messaging and visual approach from the $0.77 CPP winner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Investigate audience targeting refinements to improve conversion rates across underperforming ad sets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Test additional creative variations that combine the high engagement elements from the 10.29% CTR ad with conversion-focused messaging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Optimise budget allocation to prioritise top-performing ad sets and pause or refresh poor performers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Increase budget allocation to the (22-12-2025) - (5) ad set to capitalise on its strong performance metrics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Create 2-3 new creative variations using successful elements from top performers, focusing on similar messaging angles and visual styles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audience insights from high-performing ads to refine targeting parameters for new campaigns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Implement systematic creative testing schedule with weekly performance reviews to maintain momentum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6858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p>
      <w:pPr>
        <w:spacing w:before="360" w:after="120"/>
      </w:pPr>
      <w:r>
        <w:rPr>
          <w:b/>
          <w:sz w:val="28"/>
          <w:color w:val="1A1A2E"/>
        </w:rPr>
        <w:t>Purchase Journey</w:t>
      </w:r>
    </w:p>
    <w:p>
      <w:r>
        <w:rPr>
          <w:sz w:val="20"/>
          <w:color w:val="64748B"/>
        </w:rPr>
        <w:t>Client-facing funnel based on shopping intent and reconciled purchase results.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Shopping Intent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Purchase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Intent → Purchase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ATC → Purchase</w:t>
            </w:r>
          </w:p>
        </w:tc>
      </w:tr>
      <w:tr>
        <w:tc>
          <w:tcPr>
            <w:tcW w:w="1700" w:type="dxa"/>
          </w:tcPr>
          <w:p>
            <w:r>
              <w:rPr/>
              <w:t>This Week</w:t>
            </w:r>
          </w:p>
        </w:tc>
        <w:tc>
          <w:tcPr>
            <w:tcW w:w="1700" w:type="dxa"/>
          </w:tcPr>
          <w:p>
            <w:r>
              <w:rPr/>
              <w:t>242</w:t>
            </w:r>
          </w:p>
        </w:tc>
        <w:tc>
          <w:tcPr>
            <w:tcW w:w="1700" w:type="dxa"/>
          </w:tcPr>
          <w:p>
            <w:r>
              <w:rPr/>
              <w:t>19</w:t>
            </w:r>
          </w:p>
        </w:tc>
        <w:tc>
          <w:tcPr>
            <w:tcW w:w="1700" w:type="dxa"/>
          </w:tcPr>
          <w:p>
            <w:r>
              <w:rPr/>
              <w:t>7.85%</w:t>
            </w:r>
          </w:p>
        </w:tc>
        <w:tc>
          <w:tcPr>
            <w:tcW w:w="1700" w:type="dxa"/>
          </w:tcPr>
          <w:p>
            <w:r>
              <w:rPr/>
              <w:t>16.67%</w:t>
            </w:r>
          </w:p>
        </w:tc>
      </w:tr>
      <w:tr>
        <w:tc>
          <w:tcPr>
            <w:tcW w:w="1700" w:type="dxa"/>
          </w:tcPr>
          <w:p>
            <w:r>
              <w:rPr/>
              <w:t>Last 30 Days</w:t>
            </w:r>
          </w:p>
        </w:tc>
        <w:tc>
          <w:tcPr>
            <w:tcW w:w="1700" w:type="dxa"/>
          </w:tcPr>
          <w:p>
            <w:r>
              <w:rPr/>
              <w:t>812</w:t>
            </w:r>
          </w:p>
        </w:tc>
        <w:tc>
          <w:tcPr>
            <w:tcW w:w="1700" w:type="dxa"/>
          </w:tcPr>
          <w:p>
            <w:r>
              <w:rPr/>
              <w:t>57</w:t>
            </w:r>
          </w:p>
        </w:tc>
        <w:tc>
          <w:tcPr>
            <w:tcW w:w="1700" w:type="dxa"/>
          </w:tcPr>
          <w:p>
            <w:r>
              <w:rPr/>
              <w:t>7.02%</w:t>
            </w:r>
          </w:p>
        </w:tc>
        <w:tc>
          <w:tcPr>
            <w:tcW w:w="1700" w:type="dxa"/>
          </w:tcPr>
          <w:p>
            <w:r>
              <w:rPr/>
              <w:t>13.60%</w:t>
            </w:r>
          </w:p>
        </w:tc>
      </w:tr>
      <w:tr>
        <w:tc>
          <w:tcPr>
            <w:tcW w:w="1700" w:type="dxa"/>
          </w:tcPr>
          <w:p>
            <w:r>
              <w:rPr/>
              <w:t>Campaign to Date</w:t>
            </w:r>
          </w:p>
        </w:tc>
        <w:tc>
          <w:tcPr>
            <w:tcW w:w="1700" w:type="dxa"/>
          </w:tcPr>
          <w:p>
            <w:r>
              <w:rPr/>
              <w:t>4231</w:t>
            </w:r>
          </w:p>
        </w:tc>
        <w:tc>
          <w:tcPr>
            <w:tcW w:w="1700" w:type="dxa"/>
          </w:tcPr>
          <w:p>
            <w:r>
              <w:rPr/>
              <w:t>539</w:t>
            </w:r>
          </w:p>
        </w:tc>
        <w:tc>
          <w:tcPr>
            <w:tcW w:w="1700" w:type="dxa"/>
          </w:tcPr>
          <w:p>
            <w:r>
              <w:rPr/>
              <w:t>12.74%</w:t>
            </w:r>
          </w:p>
        </w:tc>
        <w:tc>
          <w:tcPr>
            <w:tcW w:w="1700" w:type="dxa"/>
          </w:tcPr>
          <w:p>
            <w:r>
              <w:rPr/>
              <w:t>12.74%</w:t>
            </w:r>
          </w:p>
        </w:tc>
      </w:tr>
    </w:tbl>
    <w:p>
      <w:r>
        <w:rPr>
          <w:sz w:val="18"/>
          <w:color w:val="64748B"/>
        </w:rPr>
        <w:t>Use this as the client-facing purchase-intent funnel.</w:t>
      </w:r>
    </w:p>
    <w:p>
      <w:pPr>
        <w:spacing w:before="360" w:after="120"/>
      </w:pPr>
      <w:r>
        <w:rPr>
          <w:b/>
          <w:sz w:val="28"/>
          <w:color w:val="1A1A2E"/>
        </w:rPr>
        <w:t>Sales Performance</w:t>
      </w:r>
    </w:p>
    <w:p>
      <w:r>
        <w:rPr>
          <w:sz w:val="20"/>
          <w:color w:val="64748B"/>
        </w:rPr>
        <w:t>Sales totals reconciled against WooCommerce paid kit orders.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Sales Check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w="1700" w:type="dxa"/>
          </w:tcPr>
          <w:p>
            <w:r>
              <w:rPr/>
              <w:t>Reconciled purchases</w:t>
            </w:r>
          </w:p>
        </w:tc>
        <w:tc>
          <w:tcPr>
            <w:tcW w:w="1700" w:type="dxa"/>
          </w:tcPr>
          <w:p>
            <w:r>
              <w:rPr/>
              <w:t>19</w:t>
            </w:r>
          </w:p>
        </w:tc>
      </w:tr>
      <w:tr>
        <w:tc>
          <w:tcPr>
            <w:tcW w:w="1700" w:type="dxa"/>
          </w:tcPr>
          <w:p>
            <w:r>
              <w:rPr/>
              <w:t>Reconciled revenue</w:t>
            </w:r>
          </w:p>
        </w:tc>
        <w:tc>
          <w:tcPr>
            <w:tcW w:w="1700" w:type="dxa"/>
          </w:tcPr>
          <w:p>
            <w:r>
              <w:rPr/>
              <w:t>$8,467.45</w:t>
            </w:r>
          </w:p>
        </w:tc>
      </w:tr>
      <w:tr>
        <w:tc>
          <w:tcPr>
            <w:tcW w:w="1700" w:type="dxa"/>
          </w:tcPr>
          <w:p>
            <w:r>
              <w:rPr/>
              <w:t>ROAS</w:t>
            </w:r>
          </w:p>
        </w:tc>
        <w:tc>
          <w:tcPr>
            <w:tcW w:w="1700" w:type="dxa"/>
          </w:tcPr>
          <w:p>
            <w:r>
              <w:rPr/>
              <w:t>14.48x</w:t>
            </w:r>
          </w:p>
        </w:tc>
      </w:tr>
    </w:tbl>
    <w:p>
      <w:pPr>
        <w:spacing w:before="240" w:after="120"/>
      </w:pPr>
      <w:r>
        <w:rPr>
          <w:b/>
          <w:sz w:val="24"/>
          <w:color w:val="1A1A2E"/>
        </w:rPr>
        <w:t>Reconciled Ads Performance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w="1700" w:type="dxa"/>
          </w:tcPr>
          <w:p>
            <w:r>
              <w:rPr/>
              <w:t>Meta spend</w:t>
            </w:r>
          </w:p>
        </w:tc>
        <w:tc>
          <w:tcPr>
            <w:tcW w:w="1700" w:type="dxa"/>
          </w:tcPr>
          <w:p>
            <w:r>
              <w:rPr/>
              <w:t>$584.82</w:t>
            </w:r>
          </w:p>
        </w:tc>
      </w:tr>
      <w:tr>
        <w:tc>
          <w:tcPr>
            <w:tcW w:w="1700" w:type="dxa"/>
          </w:tcPr>
          <w:p>
            <w:r>
              <w:rPr/>
              <w:t>Reconciled purchases</w:t>
            </w:r>
          </w:p>
        </w:tc>
        <w:tc>
          <w:tcPr>
            <w:tcW w:w="1700" w:type="dxa"/>
          </w:tcPr>
          <w:p>
            <w:r>
              <w:rPr/>
              <w:t>19</w:t>
            </w:r>
          </w:p>
        </w:tc>
      </w:tr>
      <w:tr>
        <w:tc>
          <w:tcPr>
            <w:tcW w:w="1700" w:type="dxa"/>
          </w:tcPr>
          <w:p>
            <w:r>
              <w:rPr/>
              <w:t>Cost per purchase</w:t>
            </w:r>
          </w:p>
        </w:tc>
        <w:tc>
          <w:tcPr>
            <w:tcW w:w="1700" w:type="dxa"/>
          </w:tcPr>
          <w:p>
            <w:r>
              <w:rPr/>
              <w:t>$30.78</w:t>
            </w:r>
          </w:p>
        </w:tc>
      </w:tr>
      <w:tr>
        <w:tc>
          <w:tcPr>
            <w:tcW w:w="1700" w:type="dxa"/>
          </w:tcPr>
          <w:p>
            <w:r>
              <w:rPr/>
              <w:t>ROAS</w:t>
            </w:r>
          </w:p>
        </w:tc>
        <w:tc>
          <w:tcPr>
            <w:tcW w:w="1700" w:type="dxa"/>
          </w:tcPr>
          <w:p>
            <w:r>
              <w:rPr/>
              <w:t>14.48x</w:t>
            </w:r>
          </w:p>
        </w:tc>
      </w:tr>
    </w:tbl>
    <w:p>
      <w:pPr>
        <w:spacing w:before="360" w:after="120"/>
      </w:pPr>
      <w:r>
        <w:rPr>
          <w:b/>
          <w:sz w:val="28"/>
          <w:color w:val="1A1A2E"/>
        </w:rPr>
        <w:t>Website Revenue Mix</w:t>
      </w:r>
    </w:p>
    <w:p>
      <w:r>
        <w:rPr>
          <w:sz w:val="20"/>
          <w:color w:val="64748B"/>
        </w:rPr>
        <w:t>GA4 view of revenue by website channel for context around Meta campaign performance.</w:t>
      </w:r>
    </w:p>
    <w:tbl>
      <w:tblPr>
        <w:tblW w:w="9504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r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16" name="ga4-source-mix-current-1781517219746-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a4-source-mix-current-1781517219746-0.png"/>
                          <pic:cNvPicPr/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17" name="ga4-source-mix-previous-1781517219747-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ga4-source-mix-previous-1781517219747-1.png"/>
                          <pic:cNvPicPr/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18" name="ga4-source-mix-month-1781517219747-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ga4-source-mix-month-1781517219747-2.png"/>
                          <pic:cNvPicPr/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sz w:val="18"/>
          <w:color w:val="64748B"/>
        </w:rPr>
        <w:t>Organic Search revenue: $1,248.96 this period. GA4 Paid Social revenue: $439.95 this period.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ga4-source-mix-current-1781517219746-0.png"/><Relationship Id="rId17" Type="http://schemas.openxmlformats.org/officeDocument/2006/relationships/image" Target="media/ga4-source-mix-previous-1781517219747-1.png"/><Relationship Id="rId18" Type="http://schemas.openxmlformats.org/officeDocument/2006/relationships/image" Target="media/ga4-source-mix-month-1781517219747-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