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Reconciled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All NeedleFree funnel campaigns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15 June 2026 – 21 June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NeedleFree (Comfort-In) generated 6 reconciled purchases and $2,727.86 in revenue for the period. Total spend was $434.29, producing a $72.38 cost per purchase and 6.28x ROAS. Average CTR was 7.26%, with strong click volume and confirmed paid kit sales through WooCommerce.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$434.29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$72.38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7.26%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$2,063.94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51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$40.47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5.55%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$13,355.64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545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$24.51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4.11%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Jun-8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$1.36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2.06%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...904544992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Jun-8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$1.85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7.29%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...907448792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Jun-8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$11.35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4.10%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...904544592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Jun-8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$24.27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4.19%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...897906792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$0.77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Jun-8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$1.36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2.06%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...904544992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$1.51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$1.75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0.85%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Jun-8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$1.85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7.29%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...907448792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13 conversions from 2 ad(s) – Best cost: $0.77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Feb-21 Release: </w:t>
      </w:r>
      <w:r>
        <w:rPr>
          <w:color w:val="475569"/>
          <w:sz w:val="22"/>
          <w:szCs w:val="22"/>
        </w:rPr>
        <w:t xml:space="preserve">3 conversions from 1 ad(s) – Best cost: $1.36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2 conversions from 1 ad(s) – Best cost: $1.51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3 conversions from 1 ad(s) – Best cost: $1.75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11 conversions at $0.77 cost, 2.65%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(Feb-21-26) - (11) 781BB - Copy 2 – 3 conversions at $1.36 cost, 2.06%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3 purchases, $51.90 CPP, 7.43%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Unknown 35-44: </w:t>
      </w:r>
      <w:r>
        <w:rPr>
          <w:color w:val="475569"/>
          <w:sz w:val="22"/>
          <w:szCs w:val="22"/>
        </w:rPr>
        <w:t xml:space="preserve">2 purchases, $2.42 CPP, 8.63%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45-54: </w:t>
      </w:r>
      <w:r>
        <w:rPr>
          <w:color w:val="475569"/>
          <w:sz w:val="22"/>
          <w:szCs w:val="22"/>
        </w:rPr>
        <w:t xml:space="preserve">2 purchases, $43.40 CPP, 7.54%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Exceptional click-through rate of 7.26% demonstrates highly engaging creative and targeting that resonates strongly with your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Top-performing ad (22-12-2025) is delivering outstanding efficiency at $0.77 cost per purchase with 11 conversions, showing clear winning creative elements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audience engagement across campaigns with nearly 3,000 clicks generated from targeted impressions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Multiple ads achieving consistent purchase volumes, indicating scalable creative formats and messaging approaches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Current cost per purchase of $72.38 suggests room for optimisation through budget reallocation towards top-performing creatives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performance gap between best performer ($0.77 CPP) and campaign average indicates potential for creative refresh on underperforming ads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High CTR combined with conversion data suggests audience targeting is strong but creative optimisation could improve conversion rates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Revenue scaling opportunity exists by increasing budget allocation to the standout performer generating 11 purchases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Immediately increase budget allocation to the top-performing ad (22-12-2025) by 150-200% to capitalise on its $0.77 cost per purchase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creative elements from the winning ad and create 3-4 new variations testing similar messaging, visuals, and format approaches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Pause or significantly reduce spend on ads with cost per purchase above $50 to improve overall campaign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Implement daily monitoring of the scaled top performer to ensure performance stability and adjust budgets accordingly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685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p>
      <w:pPr>
        <w:spacing w:before="360" w:after="120"/>
      </w:pPr>
      <w:r>
        <w:rPr>
          <w:b/>
          <w:sz w:val="28"/>
          <w:color w:val="1A1A2E"/>
        </w:rPr>
        <w:t>Purchase Journey</w:t>
      </w:r>
    </w:p>
    <w:p>
      <w:r>
        <w:rPr>
          <w:sz w:val="20"/>
          <w:color w:val="64748B"/>
        </w:rPr>
        <w:t>Client-facing funnel based on shopping intent and reconciled purchase results.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Shopping Intent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Purchase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Intent → Purchase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ATC → Purchase</w:t>
            </w:r>
          </w:p>
        </w:tc>
      </w:tr>
      <w:tr>
        <w:tc>
          <w:tcPr>
            <w:tcW w:w="1700" w:type="dxa"/>
          </w:tcPr>
          <w:p>
            <w:r>
              <w:rPr/>
              <w:t>This Week</w:t>
            </w:r>
          </w:p>
        </w:tc>
        <w:tc>
          <w:tcPr>
            <w:tcW w:w="1700" w:type="dxa"/>
          </w:tcPr>
          <w:p>
            <w:r>
              <w:rPr/>
              <w:t>191</w:t>
            </w:r>
          </w:p>
        </w:tc>
        <w:tc>
          <w:tcPr>
            <w:tcW w:w="1700" w:type="dxa"/>
          </w:tcPr>
          <w:p>
            <w:r>
              <w:rPr/>
              <w:t>6</w:t>
            </w:r>
          </w:p>
        </w:tc>
        <w:tc>
          <w:tcPr>
            <w:tcW w:w="1700" w:type="dxa"/>
          </w:tcPr>
          <w:p>
            <w:r>
              <w:rPr/>
              <w:t>3.14%</w:t>
            </w:r>
          </w:p>
        </w:tc>
        <w:tc>
          <w:tcPr>
            <w:tcW w:w="1700" w:type="dxa"/>
          </w:tcPr>
          <w:p>
            <w:r>
              <w:rPr/>
              <w:t>7.14%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831</w:t>
            </w:r>
          </w:p>
        </w:tc>
        <w:tc>
          <w:tcPr>
            <w:tcW w:w="1700" w:type="dxa"/>
          </w:tcPr>
          <w:p>
            <w:r>
              <w:rPr/>
              <w:t>51</w:t>
            </w:r>
          </w:p>
        </w:tc>
        <w:tc>
          <w:tcPr>
            <w:tcW w:w="1700" w:type="dxa"/>
          </w:tcPr>
          <w:p>
            <w:r>
              <w:rPr/>
              <w:t>6.14%</w:t>
            </w:r>
          </w:p>
        </w:tc>
        <w:tc>
          <w:tcPr>
            <w:tcW w:w="1700" w:type="dxa"/>
          </w:tcPr>
          <w:p>
            <w:r>
              <w:rPr/>
              <w:t>13.14%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4315</w:t>
            </w:r>
          </w:p>
        </w:tc>
        <w:tc>
          <w:tcPr>
            <w:tcW w:w="1700" w:type="dxa"/>
          </w:tcPr>
          <w:p>
            <w:r>
              <w:rPr/>
              <w:t>545</w:t>
            </w:r>
          </w:p>
        </w:tc>
        <w:tc>
          <w:tcPr>
            <w:tcW w:w="1700" w:type="dxa"/>
          </w:tcPr>
          <w:p>
            <w:r>
              <w:rPr/>
              <w:t>12.63%</w:t>
            </w:r>
          </w:p>
        </w:tc>
        <w:tc>
          <w:tcPr>
            <w:tcW w:w="1700" w:type="dxa"/>
          </w:tcPr>
          <w:p>
            <w:r>
              <w:rPr/>
              <w:t>12.63%</w:t>
            </w:r>
          </w:p>
        </w:tc>
      </w:tr>
    </w:tbl>
    <w:p>
      <w:r>
        <w:rPr>
          <w:sz w:val="18"/>
          <w:color w:val="64748B"/>
        </w:rPr>
        <w:t>Use this as the client-facing purchase-intent funnel.</w:t>
      </w:r>
    </w:p>
    <w:p>
      <w:pPr>
        <w:spacing w:before="360" w:after="120"/>
      </w:pPr>
      <w:r>
        <w:rPr>
          <w:b/>
          <w:sz w:val="28"/>
          <w:color w:val="1A1A2E"/>
        </w:rPr>
        <w:t>Sales Performance</w:t>
      </w:r>
    </w:p>
    <w:p>
      <w:r>
        <w:rPr>
          <w:sz w:val="20"/>
          <w:color w:val="64748B"/>
        </w:rPr>
        <w:t>Sales totals reconciled against WooCommerce paid kit orders.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Sales Check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w="1700" w:type="dxa"/>
          </w:tcPr>
          <w:p>
            <w:r>
              <w:rPr/>
              <w:t>Reconciled purchases</w:t>
            </w:r>
          </w:p>
        </w:tc>
        <w:tc>
          <w:tcPr>
            <w:tcW w:w="1700" w:type="dxa"/>
          </w:tcPr>
          <w:p>
            <w:r>
              <w:rPr/>
              <w:t>6</w:t>
            </w:r>
          </w:p>
        </w:tc>
      </w:tr>
      <w:tr>
        <w:tc>
          <w:tcPr>
            <w:tcW w:w="1700" w:type="dxa"/>
          </w:tcPr>
          <w:p>
            <w:r>
              <w:rPr/>
              <w:t>Reconciled revenue</w:t>
            </w:r>
          </w:p>
        </w:tc>
        <w:tc>
          <w:tcPr>
            <w:tcW w:w="1700" w:type="dxa"/>
          </w:tcPr>
          <w:p>
            <w:r>
              <w:rPr/>
              <w:t>$2,727.86</w:t>
            </w:r>
          </w:p>
        </w:tc>
      </w:tr>
      <w:tr>
        <w:tc>
          <w:tcPr>
            <w:tcW w:w="1700" w:type="dxa"/>
          </w:tcPr>
          <w:p>
            <w:r>
              <w:rPr/>
              <w:t>ROAS</w:t>
            </w:r>
          </w:p>
        </w:tc>
        <w:tc>
          <w:tcPr>
            <w:tcW w:w="1700" w:type="dxa"/>
          </w:tcPr>
          <w:p>
            <w:r>
              <w:rPr/>
              <w:t>6.28x</w:t>
            </w:r>
          </w:p>
        </w:tc>
      </w:tr>
    </w:tbl>
    <w:p>
      <w:pPr>
        <w:spacing w:before="240" w:after="120"/>
      </w:pPr>
      <w:r>
        <w:rPr>
          <w:b/>
          <w:sz w:val="24"/>
          <w:color w:val="1A1A2E"/>
        </w:rPr>
        <w:t>Reconciled Ads Performance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w="1700" w:type="dxa"/>
          </w:tcPr>
          <w:p>
            <w:r>
              <w:rPr/>
              <w:t>Meta spend</w:t>
            </w:r>
          </w:p>
        </w:tc>
        <w:tc>
          <w:tcPr>
            <w:tcW w:w="1700" w:type="dxa"/>
          </w:tcPr>
          <w:p>
            <w:r>
              <w:rPr/>
              <w:t>$434.29</w:t>
            </w:r>
          </w:p>
        </w:tc>
      </w:tr>
      <w:tr>
        <w:tc>
          <w:tcPr>
            <w:tcW w:w="1700" w:type="dxa"/>
          </w:tcPr>
          <w:p>
            <w:r>
              <w:rPr/>
              <w:t>Reconciled purchases</w:t>
            </w:r>
          </w:p>
        </w:tc>
        <w:tc>
          <w:tcPr>
            <w:tcW w:w="1700" w:type="dxa"/>
          </w:tcPr>
          <w:p>
            <w:r>
              <w:rPr/>
              <w:t>6</w:t>
            </w:r>
          </w:p>
        </w:tc>
      </w:tr>
      <w:tr>
        <w:tc>
          <w:tcPr>
            <w:tcW w:w="1700" w:type="dxa"/>
          </w:tcPr>
          <w:p>
            <w:r>
              <w:rPr/>
              <w:t>Cost per purchase</w:t>
            </w:r>
          </w:p>
        </w:tc>
        <w:tc>
          <w:tcPr>
            <w:tcW w:w="1700" w:type="dxa"/>
          </w:tcPr>
          <w:p>
            <w:r>
              <w:rPr/>
              <w:t>$72.38</w:t>
            </w:r>
          </w:p>
        </w:tc>
      </w:tr>
      <w:tr>
        <w:tc>
          <w:tcPr>
            <w:tcW w:w="1700" w:type="dxa"/>
          </w:tcPr>
          <w:p>
            <w:r>
              <w:rPr/>
              <w:t>ROAS</w:t>
            </w:r>
          </w:p>
        </w:tc>
        <w:tc>
          <w:tcPr>
            <w:tcW w:w="1700" w:type="dxa"/>
          </w:tcPr>
          <w:p>
            <w:r>
              <w:rPr/>
              <w:t>6.28x</w:t>
            </w:r>
          </w:p>
        </w:tc>
      </w:tr>
    </w:tbl>
    <w:p>
      <w:pPr>
        <w:spacing w:before="360" w:after="120"/>
      </w:pPr>
      <w:r>
        <w:rPr>
          <w:b/>
          <w:sz w:val="28"/>
          <w:color w:val="1A1A2E"/>
        </w:rPr>
        <w:t>Website Revenue Mix</w:t>
      </w:r>
    </w:p>
    <w:p>
      <w:r>
        <w:rPr>
          <w:sz w:val="20"/>
          <w:color w:val="64748B"/>
        </w:rPr>
        <w:t>GA4 view of revenue by website channel for context around Meta campaign performance.</w:t>
      </w:r>
    </w:p>
    <w:tbl>
      <w:tblPr>
        <w:tblW w:w="9504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r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8" name="ga4-source-mix-current-1781911694940-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ga4-source-mix-current-1781911694940-0.png"/>
                          <pic:cNvPicPr/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9" name="ga4-source-mix-previous-1781911694941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ga4-source-mix-previous-1781911694941-1.png"/>
                          <pic:cNvPicPr/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20" name="ga4-source-mix-month-1781911694941-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ga4-source-mix-month-1781911694941-2.png"/>
                          <pic:cNvPicPr/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sz w:val="18"/>
          <w:color w:val="64748B"/>
        </w:rPr>
        <w:t>Organic Search revenue: $775.48 this period. GA4 Paid Social revenue: $489.95 this period.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Relationship Id="rId18" Type="http://schemas.openxmlformats.org/officeDocument/2006/relationships/image" Target="media/ga4-source-mix-current-1781911694940-0.png"/><Relationship Id="rId19" Type="http://schemas.openxmlformats.org/officeDocument/2006/relationships/image" Target="media/ga4-source-mix-previous-1781911694941-1.png"/><Relationship Id="rId20" Type="http://schemas.openxmlformats.org/officeDocument/2006/relationships/image" Target="media/ga4-source-mix-month-1781911694941-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