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Reconciled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June 2026 – 21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9 reconciled purchases and $3,873.04 in revenue for the period. Total spend was $569.47, producing a $63.27 cost per purchase and 6.80x ROAS. Average CTR was 6.89%, with strong click volume and confirmed paid kit sales through WooCommerce.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$569.47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$63.27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$2,199.00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$40.72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5.51%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$13,490.70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$24.62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4.12%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1.86%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...904544992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3.91%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...897907192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4.04%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...904544592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$25.07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...897906792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$2.06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13 conversions from 2 ad(s) – Best cost: $0.77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2 conversions from 1 ad(s) – Best cost: $1.51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3 conversions from 1 ad(s) – Best cost: $1.75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3 conversions from 1 ad(s) – Best cost: $2.06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11 conversions at $0.77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2 conversions at $1.51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7 purchases, $29.36 CPP, 6.87%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Unknown 35-44: </w:t>
      </w:r>
      <w:r>
        <w:rPr>
          <w:color w:val="475569"/>
          <w:sz w:val="22"/>
          <w:szCs w:val="22"/>
        </w:rPr>
        <w:t xml:space="preserve">2 purchases, $2.63 CPP, 7.73%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2 purchases, $57.08 CPP, 6.99%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6.89% demonstrates strong creative resonance and audience targeting, significantly outperforming industry benchmarks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Top-performing ad set achieving 11 purchases at just $0.77 cost per purchase with 2.65% CTR shows scalable winning creative angle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engagement with 3,282 clicks from 47,647 impressions indicates compelling ad messaging that drives user action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$63.27 represents viable acquisition economics for NeedleFree's product positioning in the comfort solution market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disparity between top ad set ($0.77 CPP) and campaign average ($63.27 CPP) suggests budget reallocation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Lower-performing ad sets with declining CTR rates (1.13% and 0.85%) are inflating overall acquisition costs and reducing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impression volume (47,647) with strong CTR indicates potential to scale successful creative elements across broader audiences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Conversion rate optimisation needed to capitalise on strong traffic generation and turn more of the 3,282 clicks into purchases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top-performing ad set generating 11 purchases at $0.77 CPP to maximise efficient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significantly reduce spend on underperforming ad sets with CTR below 1.5%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replicate creative elements, messaging, and targeting from the winning $0.77 CPP ad set across new test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landing page optimisation focused on the user journey from high-engagement ads to improve conversion rates from clicks to purchases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shopping intent and reconciled purchase results.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226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3.98%</w:t>
            </w:r>
          </w:p>
        </w:tc>
        <w:tc>
          <w:tcPr>
            <w:tcW w:w="1700" w:type="dxa"/>
          </w:tcPr>
          <w:p>
            <w:r>
              <w:rPr/>
              <w:t>8.82%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866</w:t>
            </w:r>
          </w:p>
        </w:tc>
        <w:tc>
          <w:tcPr>
            <w:tcW w:w="1700" w:type="dxa"/>
          </w:tcPr>
          <w:p>
            <w:r>
              <w:rPr/>
              <w:t>54</w:t>
            </w:r>
          </w:p>
        </w:tc>
        <w:tc>
          <w:tcPr>
            <w:tcW w:w="1700" w:type="dxa"/>
          </w:tcPr>
          <w:p>
            <w:r>
              <w:rPr/>
              <w:t>6.24%</w:t>
            </w:r>
          </w:p>
        </w:tc>
        <w:tc>
          <w:tcPr>
            <w:tcW w:w="1700" w:type="dxa"/>
          </w:tcPr>
          <w:p>
            <w:r>
              <w:rPr/>
              <w:t>13.30%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4333</w:t>
            </w:r>
          </w:p>
        </w:tc>
        <w:tc>
          <w:tcPr>
            <w:tcW w:w="1700" w:type="dxa"/>
          </w:tcPr>
          <w:p>
            <w:r>
              <w:rPr/>
              <w:t>548</w:t>
            </w:r>
          </w:p>
        </w:tc>
        <w:tc>
          <w:tcPr>
            <w:tcW w:w="1700" w:type="dxa"/>
          </w:tcPr>
          <w:p>
            <w:r>
              <w:rPr/>
              <w:t>12.65%</w:t>
            </w:r>
          </w:p>
        </w:tc>
        <w:tc>
          <w:tcPr>
            <w:tcW w:w="1700" w:type="dxa"/>
          </w:tcPr>
          <w:p>
            <w:r>
              <w:rPr/>
              <w:t>12.65%</w:t>
            </w:r>
          </w:p>
        </w:tc>
      </w:tr>
    </w:tbl>
    <w:p>
      <w:r>
        <w:rPr>
          <w:sz w:val="18"/>
          <w:color w:val="64748B"/>
        </w:rPr>
        <w:t>Use this as the client-facing purchase-intent funnel.</w:t>
      </w:r>
    </w:p>
    <w:p>
      <w:pPr>
        <w:spacing w:before="360" w:after="120"/>
      </w:pPr>
      <w:r>
        <w:rPr>
          <w:b/>
          <w:sz w:val="28"/>
          <w:color w:val="1A1A2E"/>
        </w:rPr>
        <w:t>Sales Performance</w:t>
      </w:r>
    </w:p>
    <w:p>
      <w:r>
        <w:rPr>
          <w:sz w:val="20"/>
          <w:color w:val="64748B"/>
        </w:rPr>
        <w:t>Sales totals reconciled against WooCommerce paid kit orders.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</w:tr>
      <w:tr>
        <w:tc>
          <w:tcPr>
            <w:tcW w:w="1700" w:type="dxa"/>
          </w:tcPr>
          <w:p>
            <w:r>
              <w:rPr/>
              <w:t>Reconciled revenue</w:t>
            </w:r>
          </w:p>
        </w:tc>
        <w:tc>
          <w:tcPr>
            <w:tcW w:w="1700" w:type="dxa"/>
          </w:tcPr>
          <w:p>
            <w:r>
              <w:rPr/>
              <w:t>$3,873.04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6.80x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Reconciled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$569.47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$63.27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6.80x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9" name="ga4-source-mix-current-1782118093312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a4-source-mix-current-1782118093312-0.png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0" name="ga4-source-mix-previous-1782118093313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a4-source-mix-previous-1782118093313-1.png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1" name="ga4-source-mix-month-1782118093313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a4-source-mix-month-1782118093313-2.png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$2,042.52 this period. GA4 Paid Social revenue: $489.95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Relationship Id="rId19" Type="http://schemas.openxmlformats.org/officeDocument/2006/relationships/image" Target="media/ga4-source-mix-current-1782118093312-0.png"/><Relationship Id="rId20" Type="http://schemas.openxmlformats.org/officeDocument/2006/relationships/image" Target="media/ga4-source-mix-previous-1782118093313-1.png"/><Relationship Id="rId21" Type="http://schemas.openxmlformats.org/officeDocument/2006/relationships/image" Target="media/ga4-source-mix-month-1782118093313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