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 – Melbourne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30 January 2026 – 5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$4.30 across 112 leads. Total ad spend for the period was $482.01 with an average CTR of 6.01%. The top performer achieved a CPL of $1.26 (Jan-17-26 - Copy 3).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$482.01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6.01%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$1,713.69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$1,713.69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$4.97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6.69%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5.97%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7.15%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...900370360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6.81%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7.78%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...906450360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...702980360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CPL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 leads from 1 ad(s) – Best CPL: $1.26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23 leads from 4 ad(s) – Best CPL: $1.92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Jan-17-26 - Copy 3 – 1 leads at $1.26 CPL, 6.67%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Dec-15-Dec-22-25 – 8 leads at $1.92 CPL, 7.15%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30 leads, $4.70 CPL, 5.35%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30 leads, $3.76 CPL, 7.76%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17 leads, $3.96 CPL, 3.33%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CTR of 6.01% indicates strong creative-audience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CPL of $4.30 is well below typical lead gen benchmarks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achieving $1.26 CPL – exceptional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volume with 112 leads delivered in period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top-performing creatives while momentum is strong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new creative variations based on top performer themes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Consider budget reallocation toward best-performing ads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top performers closely over the next reporting period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Continue A/B testing creative hooks and formats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Analyze landing page conversion rates to optimize full funnel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Scale winning combinations and pause underperformers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