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 February 2026 – 8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$4.94 across 98 leads. Total ad spend for the period was $484.28 with an average CTR of 6.07%. The top performer achieved a CPL of $3.05 (Dec-15-Dec-22-25).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$484.28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$4.94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6.07%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$1,921.88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$1,921.88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...694070360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...676110360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...688250360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...669870360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...691160360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...702980360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...900370360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...906450360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21 conversions from 4 ad(s) – Best cost: $3.05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9 conversions from 1 ad(s) – Best cost: $3.80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Dec-15-Dec-22-25 – 11 conversions at $3.05 cost, 8.55%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Dec-15-Dec-22-25 – 5 conversions at $3.27 cost, 6.33%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30 leads, $4.11 CPL, 7.69%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19 leads, $6.86 CPL, 4.82%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55-64: </w:t>
      </w:r>
      <w:r>
        <w:rPr>
          <w:color w:val="475569"/>
          <w:sz w:val="22"/>
          <w:szCs w:val="22"/>
        </w:rPr>
        <w:t xml:space="preserve">16 leads, $4.53 CPL, 8.64%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6.07% indicates compelling ad creative and targeting alignment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cost per lead at $4.94, well below industry benchmarks for lead generation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achieving exceptional CTR of 8.55% with lowest CPL of $3.05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bottom performing ad sets suggests room for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impression to click ratio indicates potential to improve ad relevancy for certain audience segments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with current efficient CPL, suggesting room to increase daily budget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set creative elements and replicate successful components in new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lower-performing ad sets to the best performer ($3.05 CPL) to maximise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leads from the highest CTR ad set to expand reach while maintaining quality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