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7 February 2026 – 13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$7.03 across 69 leads. Total ad spend for the period was $485.33 with an average CTR of 8.16%. The top performer achieved a CPL of $4.10 (Jan-17-26 - Copy).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$485.33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8.16%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$2,076.97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6.86%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$2,266.24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428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7.04%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...694070360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...676110360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...688250360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...669870360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...691160360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7.69%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9.47%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...702980360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10.08%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...900370360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$5.53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5 conversions from 2 ad(s) – Best cost: $4.10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4 conversions from 2 ad(s) – Best cost: $4.25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Jan-17-26 - Copy – 1 conversions at $4.10 cost, 7.69%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Dec-15-Dec-22-25 – 3 conversions at $4.25 cost, 9.47%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8.16%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at $7.03 is performing efficiently for the Australian market, showing good campaign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ads consistently achieving CTRs above 7.5%, demonstrating effective copywriting patterns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variance in lead costs between top performers ($4.10) and campaign average ($7.03)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click volume (1947) relative to leads (69) indicates potential landing page conversion improvements needed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Concentrated success in specific date ranges suggests opportunity to identify and replicate winning temporal factors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top-performing ad copy elements and create 3-4 new variations incorporating successful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landing page A/B test focusing on form simplification and trust signals to improve lead conversion rate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top-performing time windows and gradually scale successful ad sets by 20-30%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