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8 February 2026 – 14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$7.52 across 65 leads. Total ad spend for the period was $489.11 with an average CTR of 8.50%. The top performer achieved a CPL of $4.24 (Jan-17-26 - Copy 2).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$489.11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8.50%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$2,082.12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6.85%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$2,334.00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434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$5.38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7.06%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...694070360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...676110360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...688250360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...669870360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...691160360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$4.24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...702980360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...707200360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3 conversions from 1 ad(s) – Best cost: $4.24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$6.95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$10.57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Jan-17-26 - Copy 2 – 3 conversions at $4.24 cost, 5.45%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Dec-15-Dec-22-25 – 1 conversions at $6.95 cost, 6.38%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8.50% indicates compelling ad creative and targeting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cost per lead at $7.52 demonstrates good campaign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Copy 2 variant showing excellent performance with lowest CPL of $4.24 and healthy 5.45%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(2,015) suggests strong audience engagement with the campaign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ad variants indicates room for creative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Higher CPL in some variants ($10.57) suggests potential targeting or messaging improvements needed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Lead volume distribution across variants shows potential for scaling top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variation between 4.13% and 6.38% indicates opportunity to improve ad relevance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Scale budget allocation towards Copy 2 variant while maintaining efficiency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Copy 2's messaging approach and test against current top performer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segments of top-performing ads to identify common characteristics for targeting refinement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underperforming variants with CPL above $8.50 to optimise budget efficiency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