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9 February 2026 – 15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$8.82 across 55 leads. Total ad spend for the period was $485.28 with an average CTR of 8.47%. The top performer achieved a CPL of $8.14 (DEC-15-2025 - copy_EF23460E-E3D8-4EDB-B5).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$485.28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8.47%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$2,088.28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353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$5.92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6.77%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$2,407.16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437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7.06%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$8.14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3.93%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...707200360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9.59%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...007560360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 conversions from 1 ad(s) – Best cost: $8.14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41 conversions from 1 ad(s) – Best cost: $8.40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copy_EF23460E-E3D8-4EDB-B5F6-59812B87B105 – 1 conversions at $8.14 cost, 3.93%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copy_9B8E5707-E50A-4DAD-94BB-138C32A34A9B – 41 conversions at $8.40 cost, 9.59%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at 8.47%, well above the industry benchmark of 1-2% for lead generation campaigns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$8.82 is performing efficiently for the Australian market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copy variant DEC-22-2025 is delivering exceptional results with 41 leads and a high 9.59% CTR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gap between the two ad variants suggests room for copy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number of clicks (1996) relative to leads (55) indicates potential landing page conversion improvements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First ad variant's lower CTR (3.93%) suggests potential targeting or creative refinement needs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the successful elements of DEC-22-2025 variant and create 2-3 new variations incorporating these winning components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 landing page audit to identify friction points and optimise the conversion path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 favour the better-performing ad variant while testing new iterations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