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10 February 2026 – 16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strong performance with a blended CPL of $9.76 across 50 leads. Total ad spend for the period was $487.83 with an average CTR of 8.64%. The top performer achieved a CPL of $0.44 (DEC-15-2025 - copy_5D6B44AE-B8A8-42E9-A2).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$487.83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$9.76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8.64%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$2,098.20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346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$6.06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6.80%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$2,477.93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444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$5.58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7.13%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...681010360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$5.84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...696440360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...673170360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4.17%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...628290360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$9.98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9.89%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...007560360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$11.27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...153730360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 conversions from 1 ad(s) – Best cost: $0.44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33 conversions from 1 ad(s) – Best cost: $9.98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DEC-29 Release: </w:t>
      </w:r>
      <w:r>
        <w:rPr>
          <w:color w:val="475569"/>
          <w:sz w:val="22"/>
          <w:szCs w:val="22"/>
        </w:rPr>
        <w:t xml:space="preserve">4 conversions from 1 ad(s) – Best cost: $11.27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copy_5D6B44AE-B8A8-42E9-A2C5-79D5CB558FD4 – 1 conversions at $0.44 cost, 4.17%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DEC-22-2025 - copy_9B8E5707-E50A-4DAD-94BB-138C32A34A9B – 33 conversions at $9.98 cost, 9.89%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Data pending: </w:t>
      </w:r>
      <w:r>
        <w:rPr>
          <w:color w:val="475569"/>
          <w:sz w:val="22"/>
          <w:szCs w:val="22"/>
        </w:rPr>
        <w:t xml:space="preserve">Demographic breakdown requires more data volume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8.64% indicates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Ad set 'DEC-22-2025' is delivering exceptional performance with 33 leads at efficient CPL and high CTR of 9.89%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lead of $9.76 is maintaining good efficiency for lead generation in the Australian market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click volume (1,964) suggests strong audience engagement and effective ad placements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ad sets indicates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Lower performing ad sets (DEC-29-2025) showing higher CPL could be refined for better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potential exists with the successful DEC-22-2025 ad set given its strong metrics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Impression to click ratio suggests potential to expand reach while maintaining quality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top-performing DEC-22-2025 ad set while maintaining CPL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from the successful $0.44 CPL ad to replicate across other ad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new ad variations based on DEC-22-2025's winning formula to scale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audience overlap analysis to ensure efficient budget distribution across ad sets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