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left"/>
      </w:pPr>
      <w:r>
        <w:drawing>
          <wp:inline distT="0" distB="0" distL="0" distR="0">
            <wp:extent cx="1333500" cy="247650"/>
            <wp:effectExtent t="0" r="0" b="0" l="0"/>
            <wp:docPr id="1" name="feisty-logo" descr="Feisty Agency Logo" title="Feisty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before="300" w:after="200"/>
      </w:pPr>
      <w:r>
        <w:rPr>
          <w:b/>
          <w:bCs/>
          <w:color w:val="1E293B"/>
          <w:sz w:val="44"/>
          <w:szCs w:val="44"/>
        </w:rPr>
        <w:t xml:space="preserve">Meta Ads Performance Audit</w:t>
      </w:r>
    </w:p>
    <w:p>
      <w:pPr>
        <w:spacing w:after="120"/>
      </w:pPr>
      <w:r>
        <w:rPr>
          <w:b/>
          <w:bCs/>
          <w:color w:val="475569"/>
          <w:sz w:val="22"/>
          <w:szCs w:val="22"/>
        </w:rPr>
        <w:t xml:space="preserve">Client: </w:t>
      </w:r>
      <w:r>
        <w:rPr>
          <w:color w:val="1E293B"/>
          <w:sz w:val="22"/>
          <w:szCs w:val="22"/>
        </w:rPr>
        <w:t xml:space="preserve">Box Divvy</w:t>
      </w:r>
    </w:p>
    <w:p>
      <w:pPr>
        <w:spacing w:after="120"/>
      </w:pPr>
      <w:r>
        <w:rPr>
          <w:b/>
          <w:bCs/>
          <w:color w:val="475569"/>
          <w:sz w:val="22"/>
          <w:szCs w:val="22"/>
        </w:rPr>
        <w:t xml:space="preserve">Campaign: </w:t>
      </w:r>
      <w:r>
        <w:rPr>
          <w:color w:val="1E293B"/>
          <w:sz w:val="22"/>
          <w:szCs w:val="22"/>
        </w:rPr>
        <w:t xml:space="preserve">Hubster Lead Gen</w:t>
      </w:r>
    </w:p>
    <w:p>
      <w:pPr>
        <w:spacing w:after="300"/>
      </w:pPr>
      <w:r>
        <w:rPr>
          <w:b/>
          <w:bCs/>
          <w:color w:val="475569"/>
          <w:sz w:val="22"/>
          <w:szCs w:val="22"/>
        </w:rPr>
        <w:t xml:space="preserve">Period: </w:t>
      </w:r>
      <w:r>
        <w:rPr>
          <w:color w:val="1E293B"/>
          <w:sz w:val="22"/>
          <w:szCs w:val="22"/>
        </w:rPr>
        <w:t xml:space="preserve">12 February 2026 – 18 February 2026</w:t>
      </w: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Executive Summary</w:t>
      </w:r>
    </w:p>
    <w:p>
      <w:pPr>
        <w:spacing w:after="300"/>
      </w:pPr>
      <w:r>
        <w:rPr>
          <w:color w:val="475569"/>
          <w:sz w:val="22"/>
          <w:szCs w:val="22"/>
        </w:rPr>
        <w:t xml:space="preserve">The Box Divvy campaign is delivering solid results with a blended CPL of $12.22 across 40 leads. Total ad spend for the period was $488.89 with an average CTR of 8.06%. The top performer achieved a CPL of $1.69 (DEC-15-2025 - copy_5D6B44AE-B8A8-42E9-A2). High CTR indicates strong creative-audience fit.</w:t>
      </w: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Key Metrics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2200"/>
        <w:gridCol w:w="1800"/>
        <w:gridCol w:w="1600"/>
        <w:gridCol w:w="1600"/>
        <w:gridCol w:w="1600"/>
      </w:tblGrid>
      <w:tr>
        <w:tc>
          <w:tcPr>
            <w:tcW w:type="dxa" w:w="22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Period</w:t>
            </w:r>
          </w:p>
        </w:tc>
        <w:tc>
          <w:tcPr>
            <w:tcW w:type="dxa" w:w="18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Spend</w:t>
            </w:r>
          </w:p>
        </w:tc>
        <w:tc>
          <w:tcPr>
            <w:tcW w:type="dxa" w:w="16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Leads</w:t>
            </w:r>
          </w:p>
        </w:tc>
        <w:tc>
          <w:tcPr>
            <w:tcW w:type="dxa" w:w="16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CPL</w:t>
            </w:r>
          </w:p>
        </w:tc>
        <w:tc>
          <w:tcPr>
            <w:tcW w:type="dxa" w:w="16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CTR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This Week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$488.89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40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$12.22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8.06%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This Month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$2,081.17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335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$6.21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6.88%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Since Starting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$2,617.74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452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$5.79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7.13%</w:t>
            </w:r>
          </w:p>
        </w:tc>
      </w:tr>
    </w:tbl>
    <w:p>
      <w:pPr>
        <w:spacing w:after="3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Latest Batch — Top Performers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500"/>
        <w:gridCol w:w="1300"/>
        <w:gridCol w:w="1400"/>
        <w:gridCol w:w="1400"/>
        <w:gridCol w:w="1400"/>
        <w:gridCol w:w="2360"/>
        <w:gridCol w:w="800"/>
      </w:tblGrid>
      <w:tr>
        <w:tc>
          <w:tcPr>
            <w:tcW w:type="dxa" w:w="5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3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Release Lot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CPL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Leads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CTR</w:t>
            </w:r>
          </w:p>
        </w:tc>
        <w:tc>
          <w:tcPr>
            <w:tcW w:type="dxa" w:w="236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 ID</w:t>
            </w:r>
          </w:p>
        </w:tc>
        <w:tc>
          <w:tcPr>
            <w:tcW w:type="dxa" w:w="8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Preview</w:t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🔥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Jan-17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$4.62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92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5.89%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...681010360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Jan-17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$5.84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3.41%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...696440360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⭐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Jan-17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$7.26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4.38%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...673170360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3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Top 5 Performers by CPL — All Time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500"/>
        <w:gridCol w:w="1300"/>
        <w:gridCol w:w="1400"/>
        <w:gridCol w:w="1400"/>
        <w:gridCol w:w="1400"/>
        <w:gridCol w:w="2360"/>
        <w:gridCol w:w="800"/>
      </w:tblGrid>
      <w:tr>
        <w:tc>
          <w:tcPr>
            <w:tcW w:type="dxa" w:w="5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3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Release Lot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CPL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Leads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CTR</w:t>
            </w:r>
          </w:p>
        </w:tc>
        <w:tc>
          <w:tcPr>
            <w:tcW w:type="dxa" w:w="236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 ID</w:t>
            </w:r>
          </w:p>
        </w:tc>
        <w:tc>
          <w:tcPr>
            <w:tcW w:type="dxa" w:w="8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Preview</w:t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🔥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DEC-15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$1.69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2.76%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...628290360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DEC-22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$2.36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9.86%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...931880360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⭐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DEC-29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$10.39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5.38%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...153730360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DEC-22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$13.26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20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9.88%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...007560360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00" w:after="300"/>
      </w:pPr>
      <w:r>
        <w:rPr>
          <w:i/>
          <w:iCs/>
          <w:color w:val="475569"/>
          <w:sz w:val="18"/>
          <w:szCs w:val="18"/>
        </w:rPr>
        <w:t xml:space="preserve">🔥 = Top performer | ⭐ = Volume star | Sorted by cost per conversion (lowest first)</w:t>
      </w: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Release Lot Performance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DEC-15 Release: </w:t>
      </w:r>
      <w:r>
        <w:rPr>
          <w:color w:val="475569"/>
          <w:sz w:val="22"/>
          <w:szCs w:val="22"/>
        </w:rPr>
        <w:t xml:space="preserve">2 conversions from 1 ad(s) – Best cost: $1.69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DEC-22 Release: </w:t>
      </w:r>
      <w:r>
        <w:rPr>
          <w:color w:val="475569"/>
          <w:sz w:val="22"/>
          <w:szCs w:val="22"/>
        </w:rPr>
        <w:t xml:space="preserve">21 conversions from 2 ad(s) – Best cost: $2.36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DEC-29 Release: </w:t>
      </w:r>
      <w:r>
        <w:rPr>
          <w:color w:val="475569"/>
          <w:sz w:val="22"/>
          <w:szCs w:val="22"/>
        </w:rPr>
        <w:t xml:space="preserve">4 conversions from 1 ad(s) – Best cost: $10.39</w:t>
      </w:r>
    </w:p>
    <w:p>
      <w:pPr>
        <w:spacing w:after="2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Creative Insights</w:t>
      </w:r>
    </w:p>
    <w:p>
      <w:pPr>
        <w:spacing w:after="40"/>
      </w:pPr>
      <w:r>
        <w:rPr>
          <w:b/>
          <w:bCs/>
          <w:color w:val="1E293B"/>
          <w:sz w:val="22"/>
          <w:szCs w:val="22"/>
        </w:rPr>
        <w:t xml:space="preserve">Top Performer:</w:t>
      </w:r>
    </w:p>
    <w:p>
      <w:pPr>
        <w:spacing w:after="120"/>
      </w:pPr>
      <w:r>
        <w:rPr>
          <w:color w:val="475569"/>
          <w:sz w:val="22"/>
          <w:szCs w:val="22"/>
        </w:rPr>
        <w:t xml:space="preserve">DEC-15-2025 - copy_5D6B44AE-B8A8-42E9-A2C5-79D5CB558FD4 – 2 conversions at $1.69 cost, 2.76% CTR</w:t>
      </w:r>
    </w:p>
    <w:p>
      <w:pPr>
        <w:spacing w:after="40"/>
      </w:pPr>
      <w:r>
        <w:rPr>
          <w:b/>
          <w:bCs/>
          <w:color w:val="1E293B"/>
          <w:sz w:val="22"/>
          <w:szCs w:val="22"/>
        </w:rPr>
        <w:t xml:space="preserve">Runner Up:</w:t>
      </w:r>
    </w:p>
    <w:p>
      <w:pPr>
        <w:spacing w:after="120"/>
      </w:pPr>
      <w:r>
        <w:rPr>
          <w:color w:val="475569"/>
          <w:sz w:val="22"/>
          <w:szCs w:val="22"/>
        </w:rPr>
        <w:t xml:space="preserve">DEC-22-2025 - copy_6892C2FA-0426-41EB-BCF9-FF6E71EFBCE6 – 1 conversions at $2.36 cost, 9.86% CTR</w:t>
      </w:r>
    </w:p>
    <w:p>
      <w:pPr>
        <w:spacing w:after="2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Demographic Sweet Spot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Data pending: </w:t>
      </w:r>
      <w:r>
        <w:rPr>
          <w:color w:val="475569"/>
          <w:sz w:val="22"/>
          <w:szCs w:val="22"/>
        </w:rPr>
        <w:t xml:space="preserve">Demographic breakdown requires more data volume</w:t>
      </w:r>
    </w:p>
    <w:p>
      <w:pPr>
        <w:spacing w:after="2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Key Insights</w:t>
      </w:r>
    </w:p>
    <w:p>
      <w:pPr>
        <w:spacing w:after="80"/>
      </w:pPr>
      <w:r>
        <w:rPr>
          <w:b/>
          <w:bCs/>
          <w:color w:val="10B981"/>
          <w:sz w:val="24"/>
          <w:szCs w:val="24"/>
        </w:rPr>
        <w:t xml:space="preserve">What's Working: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✓ Strong overall CTR of 8.06% indicates compelling ad creative and targeting resonating with audience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✓ Efficient lead generation with average cost per lead of $12.22, which is competitive for Australian market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✓ Top performing ad (DEC-15) achieved exceptional cost per lead of $1.69, demonstrating potential for highly efficient targeting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✓ High click volume (1,591) suggests strong audience engagement and campaign reach</w:t>
      </w:r>
    </w:p>
    <w:p>
      <w:pPr>
        <w:spacing w:after="120"/>
      </w:pPr>
    </w:p>
    <w:p>
      <w:pPr>
        <w:spacing w:after="80"/>
      </w:pPr>
      <w:r>
        <w:rPr>
          <w:b/>
          <w:bCs/>
          <w:color w:val="1E293B"/>
          <w:sz w:val="24"/>
          <w:szCs w:val="24"/>
        </w:rPr>
        <w:t xml:space="preserve">Opportunities: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→ Wide variance in cost per lead ($1.69 to $10.39) indicates room for optimisation across ad sets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→ CTR variations between top performers (2.76% to 9.86%) suggest potential targeting improvements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→ Scale up budget allocation to best performing ad sets to maximise ROI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→ Analyse audience overlap between high and low performing ads to refine targeting</w:t>
      </w:r>
    </w:p>
    <w:p>
      <w:pPr>
        <w:spacing w:after="2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Recommended Next Steps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▸ Replicate successful elements from DEC-15 ad creative across other ad sets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▸ Increase budget allocation to top performing ad set by 25% to test scalability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▸ Create new ad variations using winning creative elements and CTR insights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▸ Conduct detailed audience analysis to identify most responsive demographics and interests</w:t>
      </w:r>
    </w:p>
    <w:p>
      <w:pPr>
        <w:spacing w:after="300"/>
      </w:pPr>
    </w:p>
    <w:p>
      <w:pPr>
        <w:jc w:val="center"/>
      </w:pPr>
      <w:r>
        <w:drawing>
          <wp:inline distT="0" distB="0" distL="0" distR="0">
            <wp:extent cx="5524500" cy="504825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504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after="300"/>
      </w:pPr>
    </w:p>
    <w:p>
      <w:pPr>
        <w:spacing w:before="300"/>
        <w:jc w:val="center"/>
      </w:pPr>
      <w:r>
        <w:rPr>
          <w:i/>
          <w:iCs/>
          <w:color w:val="475569"/>
          <w:sz w:val="22"/>
          <w:szCs w:val="22"/>
        </w:rPr>
        <w:t xml:space="preserve">Questions? Let's chat about scaling these results.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→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200"/>
      <w:outlineLvl w:val="0"/>
    </w:pPr>
    <w:rPr>
      <w:rFonts w:ascii="Arial" w:cs="Arial" w:eastAsia="Arial" w:hAnsi="Arial"/>
      <w:b/>
      <w:bCs/>
      <w:color w:val="1E293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1E293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0e528dc0d1622c973379fd4214fb22c686b9480d.png"/><Relationship Id="rId7" Type="http://schemas.openxmlformats.org/officeDocument/2006/relationships/fontTable" Target="fontTable.xml"/><Relationship Id="rId8" Type="http://schemas.openxmlformats.org/officeDocument/2006/relationships/image" Target="media/image_generated_1.png"/><Relationship Id="rId9" Type="http://schemas.openxmlformats.org/officeDocument/2006/relationships/image" Target="media/image_generated_2.png"/><Relationship Id="rId10" Type="http://schemas.openxmlformats.org/officeDocument/2006/relationships/image" Target="media/image_generated_3.png"/><Relationship Id="rId11" Type="http://schemas.openxmlformats.org/officeDocument/2006/relationships/image" Target="media/image_generated_4.png"/><Relationship Id="rId12" Type="http://schemas.openxmlformats.org/officeDocument/2006/relationships/image" Target="media/image_generated_5.png"/><Relationship Id="rId13" Type="http://schemas.openxmlformats.org/officeDocument/2006/relationships/image" Target="media/image_generated_6.png"/><Relationship Id="rId14" Type="http://schemas.openxmlformats.org/officeDocument/2006/relationships/image" Target="media/image_generated_7.png"/><Relationship Id="rId15" Type="http://schemas.openxmlformats.org/officeDocument/2006/relationships/image" Target="media/image_generated_8.png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2026-01-30T00:08:21.820Z</dcterms:created>
  <dcterms:modified xsi:type="dcterms:W3CDTF">2026-01-30T00:08:21.821Z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