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16 February 2026 – 22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$11.05 across 45 leads. Total ad spend for the period was $497.26 with an average CTR of 7.72%. The top performer achieved a CPL of $2.13 (DEC-15-2025 - copy_5D6B44AE-B8A8-42E9-A2).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$497.26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$11.05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7.72%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$2,097.02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322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$2,904.64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$21.31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...242060360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$2.13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...628290360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$3.38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...968670360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6 conversions from 2 ad(s) – Best cost: $2.13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116 conversions from 2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copy_5D6B44AE-B8A8-42E9-A2C5-79D5CB558FD4 – 3 conversions at $2.13 cost, 3.73%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copy_A39C531E-49D2-4EB8-A792-6EFD81A734FB - Copy – 3 conversions at $3.38 cost, 6.34%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23 leads, $7.45 CPL, 7.82%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8 leads, $14.37 CPL, 9.18%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5 leads, $19.60 CPL, 5.38%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7.72% indicates compelling ad creative and targeting resonating with the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at $11.05 is performing efficiently for the Australian market, showing good targeting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'Jan-17-26' generated 11 leads at an excellent CPL of $4.03, demonstrating strong creative execution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CPL variance between top performers ($2.13 vs $4.03) suggests room for budget reallocation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potential exists with the strong CTR - could increase impression volume while maintaining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Performance disparity between similar ad copies indicates opportunity to standardise best practices across all creatives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$2.13 CPL ad and apply these winning components to new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allocation to the top 3 performing ads while gradually reducing spend on lower 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3-4 new ad variations incorporating the successful elements from 'Jan-17-26' creative to scale results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