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4 March 2026 – 10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results with a blended CPL of $35.21 across 14 leads. Total ad spend for the period was $492.93 with an average CTR of 5.37%. The top performer achieved a CPL of $0.45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$492.93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$35.21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$2,102.60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$4,024.48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6.71%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$10.99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...609950360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$20.20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...515360360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$47.94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...136080360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5.93%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4 conversions from 2 ad(s) – Best cost: $0.45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$0.45 cost, 3.85%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– 11 conversions at $4.03 cost, 6.22%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5 leads, $32.05 CPL, 5.03%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3 leads, $29.67 CPL, 4.32%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55-64: </w:t>
      </w:r>
      <w:r>
        <w:rPr>
          <w:color w:val="475569"/>
          <w:sz w:val="22"/>
          <w:szCs w:val="22"/>
        </w:rPr>
        <w:t xml:space="preserve">3 leads, $18.39 CPL, 8.07%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5.37%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Jan-17-26 copy variant delivering excellent lead volume (11) at efficient cost per lead ($4.03)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Dec-15-Dec-22-25 campaign showing consistent performance with 12 leads at competitive $4.07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(913) suggesting strong initial audience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per lead variance between top performers ($0.45-$4.07) and overall average ($35.21) indicates room for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gap between clicks (913) and leads (14) suggests landing page conversion rate could be improved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scale successful ad copy variants to capture more volume at efficient costs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landing page behaviour metrics and implement A/B tests to improve conversion rate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top-performing Jan-17-26 and Dec-15-Dec-22-25 campaigns while pausing underperforming variants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variants based on common elements from top-performing copy to maintain strong CTR while scaling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