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5 March 2026 – 11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results with a blended CPL of $24.50 across 20 leads. Total ad spend for the period was $489.91 with an average CTR of 5.20%. The top performer achieved a CPL of $0.45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5.20%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$2,100.84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$4,090.94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$1.47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$0.45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$2.93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$0.45 cost, 3.85%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$1.47 cost, 5.19%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5 leads, $32.06 CPL, 4.81%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4 leads, $22.07 CPL, 4.29%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55-64: </w:t>
      </w:r>
      <w:r>
        <w:rPr>
          <w:color w:val="475569"/>
          <w:sz w:val="22"/>
          <w:szCs w:val="22"/>
        </w:rPr>
        <w:t xml:space="preserve">3 leads, $17.36 CPL, 7.32%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5.20% indicates compelling ad creative and targeting resonating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variants achieving efficient cost per lead under $3, significantly below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impression volume (16,643) suggesting good audience reach and campaign visibility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Click volume of 865 demonstrates strong user interest and engagement with the 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variance in cost per lead ($0.45 to $24.50) suggests room to optimise budget 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number of high-performing ad variants indicates potential to expand successful creative approaches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Overall campaign cost per lead ($24.50) could be reduced by scaling top-performing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variations between ads (3.43% to 5.19%) suggest opportunity to optimise ad copy elements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of top-performing ads (CTR &gt;3.8%) and create new variants incorporating these successful features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underperforming ads to the top 3 performers with CPL under $3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testing on ad copy variations focusing on headlines and call-to-actions that drove highest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audience targeting settings of top-performing ads to identify optimal demographic and interest combinations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