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6 March 2026 – 12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results with a blended CPL of $20.37 across 24 leads. Total ad spend for the period was $488.78 with an average CTR of 5.36%. The top performer achieved a CPL of $0.45 (DEC-15-2025 - copy_08771CC1-D4C9-4210-BE).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$488.78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$20.37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5.36%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$2,095.65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157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$13.35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6.57%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$4,158.64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559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$7.44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6.68%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$0.15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$10.00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6.67%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$15.00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$4.29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...256140360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$5.00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...256200360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$0.01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$5.00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...256210360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$0.45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$1.52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5.00%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...917220360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$2.93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3.43%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...812870360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2 conversions from 2 ad(s) – Best cost: $0.45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1 conversions from 1 ad(s) – Best cost: $2.93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$0.45 cost, 3.85%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$1.52 cost, 5.00%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6 leads, $20.29 CPL, 5.85%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4 leads, $22.71 CPL, 4.29%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4 leads, $40.46 CPL, 5.17%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5.36% indicates compelling ad creative and targeting resonating with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Lead volume is healthy with 24 leads generated over 7 days at a sustainable CPL of $20.37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variations are achieving excellent CPLs under $3, showing potential for scaling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High click volume (880) suggests strong audience interest and engagement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CPL variance between top performers ($0.45-$2.93) and campaign average ($20.37) indicates room for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Could improve impression-to-lead conversion rate as only 0.15% of impressions are converting to leads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Potential to reduce wasted spend by identifying and pausing underperforming ad variations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Room to scale successful ad copies with CPL under $3 to drive more efficient lead generation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top-performing ad copies to identify common elements and create new variations based on these insights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from ads with above-average CPL to the top 3 performing variations to improve overall efficiency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Set up A/B tests focusing on headline and primary text variations of the best performing ads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Review audience targeting settings to ensure budget is focused on highest-converting segments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