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7 March 2026 – 13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$17.54 across 28 leads. Total ad spend for the period was $491.15 with an average CTR of 5.46%. The top performer achieved a CPL of $0.52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$491.15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$17.54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5.46%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$2,098.36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6.36%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$4,227.21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566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$3.49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6.49%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$16.47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$2.93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...812870360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$0.52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$2.93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$0.52 cost, 3.45%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$1.59 cost, 4.76%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10 leads, $12.15 CPL, 6.28%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5 leads, $33.48 CPL, 5.33%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55-64: </w:t>
      </w:r>
      <w:r>
        <w:rPr>
          <w:color w:val="475569"/>
          <w:sz w:val="22"/>
          <w:szCs w:val="22"/>
        </w:rPr>
        <w:t xml:space="preserve">3 leads, $15.87 CPL, 6.40%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at 5.46%, indicating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Efficient lead generation with 28 leads at a reasonable CPL of $17.54 for the Australian market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ads achieving very low CPL ($0.52-$2.93), demonstrating potential for cost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(898) showing strong audience interest and engagement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Large variance in CPL between top performers ($0.52) and campaign average ($17.54) suggests room for performance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Some ad variations performing significantly better than others, indicating potential to scale winning creative elements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variance between ads (3.43% to 4.76%) suggests opportunity to optimise ad copy and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impression to lead conversion gap indicates potential to improve landing page conversion rate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top-performing ad copy elements and create new variations incorporating these winning features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best-performing ad sets with CPL under $3, gradually scaling successful campaigns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A/B testing on landing page elements to improve conversion rate from clicks to leads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audience targeting settings from top-performing ads and apply these insights to other ad sets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