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9 March 2026 – 15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$13.59 across 36 leads. Total ad spend for the period was $489.29 with an average CTR of 5.38%. The top performer achieved a CPL of $0.52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5.38%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$2,101.98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6.15%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$4,368.22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$0.52 cost, 3.33%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$1.59 cost, 4.76%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12 leads, $10.14 CPL, 6.59%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9 leads, $18.31 CPL, 4.93%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18-24: </w:t>
      </w:r>
      <w:r>
        <w:rPr>
          <w:color w:val="475569"/>
          <w:sz w:val="22"/>
          <w:szCs w:val="22"/>
        </w:rPr>
        <w:t xml:space="preserve">3 leads, $2.80 CPL, 4.17%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5.38% indicates compelling ad creative and targeting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cost per lead at $13.59, which is competitive for lead generation campaigns in Australia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(868) from moderate impressions (16,126) suggests effective audience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achieving leads at very low costs ($0.52-$3.03) demonstrate potential for scaling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variance between top performers ($0.52 vs $13.59 average) indicates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number of high-performing variations suggests need for more creative testing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Potential to increase impression volume while maintaining strong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Room to improve conversion rate from clicks to leads (4.15% currently)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top-performing ad copy elements and create 3-4 new variations incorporating successful messaging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best-performing ad sets (particularly those achieving leads under $3)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automated rules to scale spend on ads maintaining CTR above 4% and CPL below $10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converted leads to expand reach while maintaining quality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