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10 March 2026 – 16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$11.78 across 42 leads. Total ad spend for the period was $494.84 with an average CTR of 5.54%. The top performer achieved a CPL of $0.52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$494.84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5.54%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$2,111.52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6.09%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$4,445.52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583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$22.34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$24.44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$22.22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$14.35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$1.66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571500" cy="76200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$0.52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$3.37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$0.52 cost, 3.33%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$1.66 cost, 4.65%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15 leads, $8.14 CPL, 7.03%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11 leads, $15.15 CPL, 5.15%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18-24: </w:t>
      </w:r>
      <w:r>
        <w:rPr>
          <w:color w:val="475569"/>
          <w:sz w:val="22"/>
          <w:szCs w:val="22"/>
        </w:rPr>
        <w:t xml:space="preserve">3 leads, $2.83 CPL, 4.42%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42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