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11 March 2026 – 17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$9.99 across 49 leads. Total ad spend for the period was $489.75 with an average CTR of 5.82%. The top performer achieved a CPL of $0.52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$9.99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5.82%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$2,106.85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6.03%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$4,514.23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595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$22.89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$20.50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3.02%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$0.52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$3.58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$0.52 cost, 3.33%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$1.66 cost, 4.60%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18 leads, $6.73 CPL, 7.44%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15 leads, $11.15 CPL, 5.47%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4 leads, $20.32 CPL, 4.03%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5.82% indicates compelling ad creative and targeting alignment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Efficient cost per lead at $9.99 demonstrates good campaign optimisation and audience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(959) shows strong audience interest and engagement with the ads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variations achieving CPLs under $4, showing potential for scaling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CPL variance between top performers ($0.52-$3.58) suggests room for budget reallocation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Limited number of high-performing ad variations indicates need for more creative testing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Current impression volume (16,470) suggests potential to expand reach while maintaining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Copy variations from December campaigns showing promise but need more data for optimisation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top-performing ad copy elements and create 3-4 new variations incorporating these themes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ad sets achieving sub-$4 CPL while maintaining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A/B tests focusing on headline variations to improve CTR across all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Gradually increase daily budget by 20% for top-performing ad sets to scale results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