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 February 2026 – 8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solid results with a blended CPP of $15.99 across 26 purchases. Total ad spend for the period was $415.69 with an average CTR of 2.93%. The top performer achieved a CPP of $5.58 ((23-11-2025)).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$415.69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$15.99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2.93%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$1,649.98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3.94%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$3,639.26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317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$11.48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4.52%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$8.70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3.72%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...051358971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$9.80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$8.72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7.51%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...141920571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$40.82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3.91%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...141865771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$5.58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...051358971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$10.38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$29.63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$42.53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8.05%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11-202 Release: </w:t>
      </w:r>
      <w:r>
        <w:rPr>
          <w:color w:val="475569"/>
          <w:sz w:val="22"/>
          <w:szCs w:val="22"/>
        </w:rPr>
        <w:t xml:space="preserve">18 conversions from 4 ad(s) – Best cost: $5.58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(23-11-2025) – 4 conversions at $5.58 cost, 0.84%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(23-11-2025) - (1) – 10 conversions at $10.38 cost, 1.08%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32 purchases, $4.66 CPP, 2.25%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12 purchases, $13.76 CPP, 3.10%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55-64: </w:t>
      </w:r>
      <w:r>
        <w:rPr>
          <w:color w:val="475569"/>
          <w:sz w:val="22"/>
          <w:szCs w:val="22"/>
        </w:rPr>
        <w:t xml:space="preserve">4 purchases, $4.04 CPP, 3.58%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conversion rate with 26 purchases achieved at an efficient cost per purchase of $15.99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CTR of 2.93%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set from 23-11 delivered 10 purchases at an excellent CPA of $10.38, showing strong potential for scaling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CTR variation between ad sets (0.84% to 3.18%) suggests room for creative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Cost per purchase fluctuation ($5.58 to $29.63) indicates potential for better budget allocation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Total impression count of 33,074 suggests potential to expand reach while maintaining efficiency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from the 3.18% CTR ad and apply these insights to lower-performing variations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top-performing ad set from 23-11 while maintaining a minimum daily spend of $60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2-3 new ad variations based on the $5.58 CPA campaign creative to test against current top performers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